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3E" w:rsidRDefault="003429D5" w:rsidP="00030844">
      <w:pPr>
        <w:pStyle w:val="Ttulo1"/>
        <w:pBdr>
          <w:top w:val="single" w:sz="2" w:space="0" w:color="4F81BD"/>
        </w:pBdr>
        <w:tabs>
          <w:tab w:val="left" w:pos="284"/>
        </w:tabs>
      </w:pPr>
      <w:r>
        <w:t>seguimiento de noticias de regulación internacional</w:t>
      </w:r>
    </w:p>
    <w:p w:rsidR="003429D5" w:rsidRDefault="003429D5" w:rsidP="003429D5">
      <w:pPr>
        <w:jc w:val="center"/>
      </w:pPr>
      <w:r>
        <w:t>Septiembre-octubre 2011</w:t>
      </w:r>
    </w:p>
    <w:p w:rsidR="0083462B" w:rsidRPr="007765B4" w:rsidRDefault="003429D5" w:rsidP="007765B4">
      <w:pPr>
        <w:pStyle w:val="Ttulo2"/>
      </w:pPr>
      <w:r>
        <w:t>sumario</w:t>
      </w:r>
      <w:r w:rsidR="006A3909" w:rsidRPr="007765B4">
        <w:t xml:space="preserve">                                                                                                         </w:t>
      </w:r>
    </w:p>
    <w:p w:rsidR="000322F5" w:rsidRDefault="000322F5" w:rsidP="003429D5">
      <w:pPr>
        <w:spacing w:before="100" w:beforeAutospacing="1" w:after="100" w:afterAutospacing="1" w:line="276" w:lineRule="auto"/>
        <w:rPr>
          <w:lang w:val="es-ES_tradnl"/>
        </w:rPr>
      </w:pPr>
      <w:r w:rsidRPr="00FA0868">
        <w:rPr>
          <w:lang w:val="es-ES_tradnl"/>
        </w:rPr>
        <w:t xml:space="preserve">Se resumen las noticias sobre distintas iniciativas y novedades regulatorias dadas a conocer </w:t>
      </w:r>
      <w:r>
        <w:rPr>
          <w:lang w:val="es-ES_tradnl"/>
        </w:rPr>
        <w:t>entre septiembre y octubre de</w:t>
      </w:r>
      <w:r w:rsidRPr="00FA0868">
        <w:rPr>
          <w:lang w:val="es-ES_tradnl"/>
        </w:rPr>
        <w:t xml:space="preserve"> 2011</w:t>
      </w:r>
      <w:r>
        <w:rPr>
          <w:lang w:val="es-ES_tradnl"/>
        </w:rPr>
        <w:t>. En esta ocasión comentamos las tensas negociaciones sobre los recortes presupuestarios en el Congreso de los EE.UU. y sus posibles repercusiones en el apoyo a las renovables, la consulta sobre la revisión de los niveles de apoyo a las renovables en el Reino Unido (previo a la reforma más global del mercado eléctrico) y la presentación del plan comunitario de infraestructuras.</w:t>
      </w:r>
    </w:p>
    <w:p w:rsidR="000322F5" w:rsidRDefault="000322F5" w:rsidP="003429D5">
      <w:pPr>
        <w:spacing w:before="100" w:beforeAutospacing="1" w:after="100" w:afterAutospacing="1" w:line="276" w:lineRule="auto"/>
        <w:rPr>
          <w:lang w:val="es-ES_tradnl"/>
        </w:rPr>
      </w:pPr>
      <w:r>
        <w:rPr>
          <w:lang w:val="es-ES_tradnl"/>
        </w:rPr>
        <w:t>Por otro lado, también se exponen diversos aspectos de interés en la actualidad nuclear europea, en el desarrollo de redes, tanto en Europa como en EE.UU</w:t>
      </w:r>
      <w:r w:rsidR="00E56501">
        <w:rPr>
          <w:lang w:val="es-ES_tradnl"/>
        </w:rPr>
        <w:t>.</w:t>
      </w:r>
      <w:r>
        <w:rPr>
          <w:lang w:val="es-ES_tradnl"/>
        </w:rPr>
        <w:t xml:space="preserve"> y en cuestiones medioambientales en EE.UU. Se comenta por último</w:t>
      </w:r>
      <w:r w:rsidR="00E56501">
        <w:rPr>
          <w:lang w:val="es-ES_tradnl"/>
        </w:rPr>
        <w:t>,</w:t>
      </w:r>
      <w:r>
        <w:rPr>
          <w:lang w:val="es-ES_tradnl"/>
        </w:rPr>
        <w:t xml:space="preserve"> la consulta sobre mercado de capacidad en Francia y el impacto sobre los peajes eléctricos de las renovables en Alemania.</w:t>
      </w:r>
    </w:p>
    <w:p w:rsidR="000322F5" w:rsidRDefault="000322F5" w:rsidP="003429D5">
      <w:pPr>
        <w:spacing w:before="100" w:beforeAutospacing="1" w:after="100" w:afterAutospacing="1" w:line="276" w:lineRule="auto"/>
      </w:pPr>
      <w:r>
        <w:rPr>
          <w:lang w:val="es-ES_tradnl"/>
        </w:rPr>
        <w:t>Se introduce al final de</w:t>
      </w:r>
      <w:r w:rsidR="00E56501">
        <w:rPr>
          <w:lang w:val="es-ES_tradnl"/>
        </w:rPr>
        <w:t>l</w:t>
      </w:r>
      <w:r>
        <w:rPr>
          <w:lang w:val="es-ES_tradnl"/>
        </w:rPr>
        <w:t xml:space="preserve"> documento un glosario para mejor comprensión de las abreviaturas y acrónimos empleados.</w:t>
      </w:r>
    </w:p>
    <w:p w:rsidR="000322F5" w:rsidRDefault="000322F5" w:rsidP="003429D5">
      <w:pPr>
        <w:pStyle w:val="Ttulo2"/>
      </w:pPr>
      <w:r>
        <w:t>Temas de fondo</w:t>
      </w:r>
    </w:p>
    <w:p w:rsidR="000322F5" w:rsidRDefault="000322F5" w:rsidP="003429D5">
      <w:pPr>
        <w:pStyle w:val="Ttulo3"/>
        <w:rPr>
          <w:lang w:val="es-ES_tradnl"/>
        </w:rPr>
      </w:pPr>
      <w:r>
        <w:t xml:space="preserve">Tensiones en el Congreso y la deuda en EEUU. Efecto sobre el apoyo a las renovables: </w:t>
      </w:r>
    </w:p>
    <w:p w:rsidR="000322F5" w:rsidRDefault="000322F5" w:rsidP="003429D5">
      <w:pPr>
        <w:spacing w:before="100" w:beforeAutospacing="1" w:after="100" w:afterAutospacing="1" w:line="276" w:lineRule="auto"/>
      </w:pPr>
      <w:r w:rsidRPr="002F0AE0">
        <w:t>El pasado 31 de julio el presidente Obama cerró un acuerdo con los líderes republicanos y demócratas de las cámaras legislativas que permitió, tras su aprobació</w:t>
      </w:r>
      <w:r>
        <w:t xml:space="preserve">n parlamentaria el 2 de agosto </w:t>
      </w:r>
      <w:r w:rsidRPr="002F0AE0">
        <w:t>elevar el techo de la deuda y así evitar la suspensión de pagos de EE.UU. que se hubiera pro</w:t>
      </w:r>
      <w:r>
        <w:t>ducido de persistir el bloqueo liderado por los representantes republicanos. Actualmente</w:t>
      </w:r>
      <w:r w:rsidR="00C275AD">
        <w:t>,</w:t>
      </w:r>
      <w:r>
        <w:t xml:space="preserve"> se </w:t>
      </w:r>
      <w:r w:rsidR="00C275AD">
        <w:t>ha constituido un “</w:t>
      </w:r>
      <w:proofErr w:type="spellStart"/>
      <w:r w:rsidR="00C275AD">
        <w:t>super</w:t>
      </w:r>
      <w:proofErr w:type="spellEnd"/>
      <w:r w:rsidR="00C275AD">
        <w:t xml:space="preserve"> comité”</w:t>
      </w:r>
      <w:r>
        <w:t xml:space="preserve">, compuesto por seis republicanos y seis demócratas que tienen hasta el 23 de noviembre para proponer medidas para reducir el déficit presupuestario. Si se alcanza un acuerdo, éste se deberá de firmar no más tarde del 23 de diciembre. Si no se llega a un acuerdo, los programas del gobierno se verán reducidos en igual proporción para alcanzar la reducción de presupuesto de 1,2 billones USD. </w:t>
      </w:r>
    </w:p>
    <w:p w:rsidR="000322F5" w:rsidRDefault="000322F5" w:rsidP="003429D5">
      <w:pPr>
        <w:spacing w:before="100" w:beforeAutospacing="1" w:after="100" w:afterAutospacing="1" w:line="276" w:lineRule="auto"/>
      </w:pPr>
      <w:r>
        <w:t>Por otra parte, está actualmente en discusión la prolongación o no de las ayudas a las renovables, concretamente los PTC (</w:t>
      </w:r>
      <w:proofErr w:type="spellStart"/>
      <w:r w:rsidRPr="00990BA5">
        <w:rPr>
          <w:i/>
        </w:rPr>
        <w:t>production</w:t>
      </w:r>
      <w:proofErr w:type="spellEnd"/>
      <w:r w:rsidRPr="00990BA5">
        <w:rPr>
          <w:i/>
        </w:rPr>
        <w:t xml:space="preserve"> </w:t>
      </w:r>
      <w:proofErr w:type="spellStart"/>
      <w:r w:rsidRPr="00990BA5">
        <w:rPr>
          <w:i/>
        </w:rPr>
        <w:t>tax</w:t>
      </w:r>
      <w:proofErr w:type="spellEnd"/>
      <w:r w:rsidRPr="00990BA5">
        <w:rPr>
          <w:i/>
        </w:rPr>
        <w:t xml:space="preserve"> </w:t>
      </w:r>
      <w:proofErr w:type="spellStart"/>
      <w:r w:rsidRPr="00990BA5">
        <w:rPr>
          <w:i/>
        </w:rPr>
        <w:t>credits</w:t>
      </w:r>
      <w:proofErr w:type="spellEnd"/>
      <w:r>
        <w:t>) e ITC (</w:t>
      </w:r>
      <w:proofErr w:type="spellStart"/>
      <w:r w:rsidRPr="00990BA5">
        <w:rPr>
          <w:i/>
        </w:rPr>
        <w:t>investment</w:t>
      </w:r>
      <w:proofErr w:type="spellEnd"/>
      <w:r w:rsidRPr="00990BA5">
        <w:rPr>
          <w:i/>
        </w:rPr>
        <w:t xml:space="preserve"> </w:t>
      </w:r>
      <w:proofErr w:type="spellStart"/>
      <w:r w:rsidRPr="00990BA5">
        <w:rPr>
          <w:i/>
        </w:rPr>
        <w:t>tax</w:t>
      </w:r>
      <w:proofErr w:type="spellEnd"/>
      <w:r w:rsidRPr="00990BA5">
        <w:rPr>
          <w:i/>
        </w:rPr>
        <w:t xml:space="preserve"> </w:t>
      </w:r>
      <w:proofErr w:type="spellStart"/>
      <w:r w:rsidRPr="00990BA5">
        <w:rPr>
          <w:i/>
        </w:rPr>
        <w:t>credits</w:t>
      </w:r>
      <w:proofErr w:type="spellEnd"/>
      <w:r>
        <w:t>).</w:t>
      </w:r>
      <w:r w:rsidR="00C275AD">
        <w:t xml:space="preserve"> </w:t>
      </w:r>
      <w:r>
        <w:t>Los PTC expiran en diciembre 2012, habiéndose registrado una propuesta parlamentaria de representantes de ambos partidos para abordar su extensión que, en todo caso se considera improbable a corto plazo, aunque no necesariamente perezca víctima de las medidas de recorte. Asimismo</w:t>
      </w:r>
      <w:r w:rsidR="00C275AD">
        <w:t>,</w:t>
      </w:r>
      <w:r>
        <w:t xml:space="preserve"> la aprobación de la dicha norma de extensión a partir de marzo también se considera compleja ya que, con la nominación del candidato republicano se inicia la campaña presidencial que puede perturbar la adopción de medidas con impacto en los presupuestos. La Tramitación de esta iniciativa legislativa coincide con otra moción presentada </w:t>
      </w:r>
      <w:r>
        <w:lastRenderedPageBreak/>
        <w:t>por otros representantes republicanos proponiendo la finalización de los subsidios fiscales a todas las energías (incluyendo las renovables), pero manteniendo los dedicados a la perforación de hidrocarburos.</w:t>
      </w:r>
    </w:p>
    <w:p w:rsidR="000322F5" w:rsidRDefault="000322F5" w:rsidP="003429D5">
      <w:pPr>
        <w:spacing w:before="100" w:beforeAutospacing="1" w:after="100" w:afterAutospacing="1" w:line="276" w:lineRule="auto"/>
      </w:pPr>
      <w:r>
        <w:t>No obstante, no debe excluirse la aprobación en 2013 con efectos retroactivos desde el 1 de Enero de ese año. El programa de apoyo “</w:t>
      </w:r>
      <w:proofErr w:type="spellStart"/>
      <w:r w:rsidRPr="00990BA5">
        <w:rPr>
          <w:i/>
        </w:rPr>
        <w:t>grant</w:t>
      </w:r>
      <w:proofErr w:type="spellEnd"/>
      <w:r w:rsidRPr="00990BA5">
        <w:rPr>
          <w:i/>
        </w:rPr>
        <w:t xml:space="preserve"> </w:t>
      </w:r>
      <w:proofErr w:type="spellStart"/>
      <w:r w:rsidRPr="00990BA5">
        <w:rPr>
          <w:i/>
        </w:rPr>
        <w:t>program</w:t>
      </w:r>
      <w:proofErr w:type="spellEnd"/>
      <w:r>
        <w:t>” que existe actualmente permite a los promotores de renovables, recibir una subvención monetaria en lugar de los PTC y los ITC, siempre y cuando se comiencen a construir antes del 31 de diciembre de 2011, no tiene perspectivas de ser renovado.</w:t>
      </w:r>
    </w:p>
    <w:p w:rsidR="003429D5" w:rsidRDefault="000322F5" w:rsidP="000322F5">
      <w:pPr>
        <w:rPr>
          <w:b/>
          <w:color w:val="008000"/>
          <w:sz w:val="22"/>
        </w:rPr>
      </w:pPr>
      <w:r w:rsidRPr="003429D5">
        <w:rPr>
          <w:rStyle w:val="Ttulo3Car"/>
        </w:rPr>
        <w:t>Revisión del apoyo a renovables en Gran Bretaña:</w:t>
      </w:r>
      <w:r>
        <w:rPr>
          <w:b/>
          <w:color w:val="008000"/>
          <w:sz w:val="22"/>
        </w:rPr>
        <w:t xml:space="preserve"> </w:t>
      </w:r>
    </w:p>
    <w:p w:rsidR="000322F5" w:rsidRDefault="000322F5" w:rsidP="003429D5">
      <w:pPr>
        <w:spacing w:before="100" w:beforeAutospacing="1" w:after="100" w:afterAutospacing="1" w:line="276" w:lineRule="auto"/>
      </w:pPr>
      <w:r>
        <w:t>El pasado 20 de Octubre con el “</w:t>
      </w:r>
      <w:proofErr w:type="spellStart"/>
      <w:r>
        <w:t>Banding</w:t>
      </w:r>
      <w:proofErr w:type="spellEnd"/>
      <w:r>
        <w:t xml:space="preserve"> </w:t>
      </w:r>
      <w:proofErr w:type="spellStart"/>
      <w:r>
        <w:t>Review</w:t>
      </w:r>
      <w:proofErr w:type="spellEnd"/>
      <w:r>
        <w:t>” (BR, actualización del marco de apoyo a las renovables) el Gobierno británico refrendó su apoyo a las energías renovables. La consulta se anticipa un año con el fin de reducir la incertidumbre y evitar cualquier impasse en los procesos de inversión ante la entrada en vigor del nuevo régimen de apoyo que nazca a partir de 2014 de acuerdo con lo que resulte de la discusión del EMR (</w:t>
      </w:r>
      <w:proofErr w:type="spellStart"/>
      <w:r>
        <w:t>Electricity</w:t>
      </w:r>
      <w:proofErr w:type="spellEnd"/>
      <w:r>
        <w:t xml:space="preserve"> </w:t>
      </w:r>
      <w:proofErr w:type="spellStart"/>
      <w:r>
        <w:t>Marke</w:t>
      </w:r>
      <w:r w:rsidR="00C275AD">
        <w:t>t</w:t>
      </w:r>
      <w:proofErr w:type="spellEnd"/>
      <w:r>
        <w:t xml:space="preserve"> </w:t>
      </w:r>
      <w:proofErr w:type="spellStart"/>
      <w:r>
        <w:t>Reform</w:t>
      </w:r>
      <w:proofErr w:type="spellEnd"/>
      <w:r>
        <w:t xml:space="preserve">). Los niveles de apoyo que se determinen tras las consulta serán de aplicación entre 2013 y 2017, aunque desde la entrada en vigor del EMR los inversores podrán optar por el “viejo” marco o por el recién estrenado. </w:t>
      </w:r>
    </w:p>
    <w:p w:rsidR="000322F5" w:rsidRDefault="000322F5" w:rsidP="003429D5">
      <w:pPr>
        <w:shd w:val="clear" w:color="auto" w:fill="FFFFFF"/>
        <w:spacing w:before="100" w:beforeAutospacing="1" w:after="100" w:afterAutospacing="1" w:line="276" w:lineRule="auto"/>
      </w:pPr>
      <w:r>
        <w:t xml:space="preserve">En la revisión del mecanismo de apoyo a renovables, se propone rebajar el apoyo para la eólica terrestre de un ROC/MWh (Certificados de energía renovable) a 0,9 </w:t>
      </w:r>
      <w:proofErr w:type="spellStart"/>
      <w:r>
        <w:t>ROC</w:t>
      </w:r>
      <w:r w:rsidR="00C95522">
        <w:t>´</w:t>
      </w:r>
      <w:r>
        <w:t>s</w:t>
      </w:r>
      <w:proofErr w:type="spellEnd"/>
      <w:r>
        <w:t xml:space="preserve">/MWh producido desde 2013-14. Para la eólica marina, se propone reducir el apoyo desde 2 </w:t>
      </w:r>
      <w:proofErr w:type="spellStart"/>
      <w:r>
        <w:t>ROC’s</w:t>
      </w:r>
      <w:proofErr w:type="spellEnd"/>
      <w:r>
        <w:t xml:space="preserve"> en 2013-15 </w:t>
      </w:r>
      <w:r w:rsidR="00C275AD">
        <w:t>a 1,9/MWh en 2015-16 y a</w:t>
      </w:r>
      <w:r>
        <w:t xml:space="preserve"> 1,8 en 2016-17. Ello supone un peor tratamiento para la eólica ter</w:t>
      </w:r>
      <w:r w:rsidR="00C275AD">
        <w:t>restre que en marco aun vigente</w:t>
      </w:r>
      <w:r>
        <w:t xml:space="preserve"> y una mejora para la marina en el período 2014-15. Los primeros 30</w:t>
      </w:r>
      <w:r w:rsidR="00C275AD">
        <w:t xml:space="preserve"> </w:t>
      </w:r>
      <w:r>
        <w:t>MW de cada proyecto de generación con otras tecnologías mar</w:t>
      </w:r>
      <w:r w:rsidR="00C275AD">
        <w:t xml:space="preserve">inas podrán recibir 5 </w:t>
      </w:r>
      <w:proofErr w:type="spellStart"/>
      <w:r w:rsidR="00C275AD">
        <w:t>ROC’s</w:t>
      </w:r>
      <w:proofErr w:type="spellEnd"/>
      <w:r w:rsidR="00C275AD">
        <w:t>/MWh</w:t>
      </w:r>
      <w:r>
        <w:t xml:space="preserve"> y la biomasa mantendrá un apoyo de 1,5 </w:t>
      </w:r>
      <w:proofErr w:type="spellStart"/>
      <w:r>
        <w:t>ROC</w:t>
      </w:r>
      <w:r w:rsidR="00C95522">
        <w:t>´s</w:t>
      </w:r>
      <w:proofErr w:type="spellEnd"/>
      <w:r>
        <w:t xml:space="preserve">/MWh hasta 2016 que se reducirá a 1,4. </w:t>
      </w:r>
    </w:p>
    <w:p w:rsidR="000322F5" w:rsidRDefault="000322F5" w:rsidP="003429D5">
      <w:pPr>
        <w:shd w:val="clear" w:color="auto" w:fill="FFFFFF"/>
        <w:spacing w:before="100" w:beforeAutospacing="1" w:after="100" w:afterAutospacing="1" w:line="276" w:lineRule="auto"/>
      </w:pPr>
      <w:r>
        <w:t>La rebaja gradual en el nivel de apoyo de cada una de las tecnologías se compensa según el Gobierno, por el efecto del impuesto sobre el CO</w:t>
      </w:r>
      <w:r w:rsidRPr="00C275AD">
        <w:rPr>
          <w:vertAlign w:val="subscript"/>
        </w:rPr>
        <w:t>2</w:t>
      </w:r>
      <w:r>
        <w:t xml:space="preserve"> que tendería a incrementar los precios de la electricidad para beneficiar a la generación libre de emisiones desde 2013.</w:t>
      </w:r>
    </w:p>
    <w:p w:rsidR="003429D5" w:rsidRDefault="000322F5" w:rsidP="003429D5">
      <w:pPr>
        <w:pStyle w:val="Ttulo3"/>
      </w:pPr>
      <w:r w:rsidRPr="00A456C8">
        <w:t xml:space="preserve">Temas </w:t>
      </w:r>
      <w:r>
        <w:t xml:space="preserve">energéticos comunitarios: </w:t>
      </w:r>
    </w:p>
    <w:p w:rsidR="000322F5" w:rsidRDefault="000322F5" w:rsidP="003429D5">
      <w:pPr>
        <w:spacing w:before="100" w:beforeAutospacing="1" w:after="100" w:afterAutospacing="1" w:line="276" w:lineRule="auto"/>
      </w:pPr>
      <w:r>
        <w:t>La CE reveló a finales de octubre su propuesta legal formal para la promoción de infraestructuras, tras recopilar una serie de ideas, sugerencias y observaciones. El plan, denominado “</w:t>
      </w:r>
      <w:proofErr w:type="spellStart"/>
      <w:r w:rsidRPr="00276EB0">
        <w:rPr>
          <w:i/>
        </w:rPr>
        <w:t>Connecting</w:t>
      </w:r>
      <w:proofErr w:type="spellEnd"/>
      <w:r w:rsidRPr="00276EB0">
        <w:rPr>
          <w:i/>
        </w:rPr>
        <w:t xml:space="preserve"> </w:t>
      </w:r>
      <w:proofErr w:type="spellStart"/>
      <w:r w:rsidRPr="00276EB0">
        <w:rPr>
          <w:i/>
        </w:rPr>
        <w:t>Europe</w:t>
      </w:r>
      <w:proofErr w:type="spellEnd"/>
      <w:r w:rsidRPr="00276EB0">
        <w:rPr>
          <w:i/>
        </w:rPr>
        <w:t xml:space="preserve"> </w:t>
      </w:r>
      <w:proofErr w:type="spellStart"/>
      <w:r w:rsidRPr="00276EB0">
        <w:rPr>
          <w:i/>
        </w:rPr>
        <w:t>Facility</w:t>
      </w:r>
      <w:proofErr w:type="spellEnd"/>
      <w:r>
        <w:t>”, movilizará la inversión de 40.000 millones</w:t>
      </w:r>
      <w:r w:rsidR="005B71F7">
        <w:t xml:space="preserve"> </w:t>
      </w:r>
      <w:r>
        <w:t>EUR en energía, transporte, tecnología de la información y comunicaciones entre 2014 y 2020. De esta cifra, se destinarán 9.100 millones EUR a infraestructuras energéticas, que apoyarán el desarrollo de 11 corredores energéticos, además</w:t>
      </w:r>
      <w:r w:rsidR="005B71F7">
        <w:t>,</w:t>
      </w:r>
      <w:r>
        <w:t xml:space="preserve"> de nuevas estaciones compresoras de gas. Los corredores eléctricos prioritarios son el </w:t>
      </w:r>
      <w:proofErr w:type="spellStart"/>
      <w:r>
        <w:t>Northern</w:t>
      </w:r>
      <w:proofErr w:type="spellEnd"/>
      <w:r>
        <w:t xml:space="preserve"> Seas offshore </w:t>
      </w:r>
      <w:proofErr w:type="spellStart"/>
      <w:r>
        <w:t>grid</w:t>
      </w:r>
      <w:proofErr w:type="spellEnd"/>
      <w:r>
        <w:t xml:space="preserve">, </w:t>
      </w:r>
      <w:proofErr w:type="spellStart"/>
      <w:r>
        <w:t>Baltic</w:t>
      </w:r>
      <w:proofErr w:type="spellEnd"/>
      <w:r>
        <w:t xml:space="preserve"> </w:t>
      </w:r>
      <w:proofErr w:type="spellStart"/>
      <w:r>
        <w:t>energy</w:t>
      </w:r>
      <w:proofErr w:type="spellEnd"/>
      <w:r>
        <w:t xml:space="preserve"> </w:t>
      </w:r>
      <w:proofErr w:type="spellStart"/>
      <w:r>
        <w:t>market</w:t>
      </w:r>
      <w:proofErr w:type="spellEnd"/>
      <w:r>
        <w:t xml:space="preserve"> </w:t>
      </w:r>
      <w:proofErr w:type="spellStart"/>
      <w:r>
        <w:t>interconnection</w:t>
      </w:r>
      <w:proofErr w:type="spellEnd"/>
      <w:r>
        <w:t xml:space="preserve"> plan, North-South </w:t>
      </w:r>
      <w:proofErr w:type="spellStart"/>
      <w:r>
        <w:t>electricity</w:t>
      </w:r>
      <w:proofErr w:type="spellEnd"/>
      <w:r>
        <w:t xml:space="preserve"> </w:t>
      </w:r>
      <w:proofErr w:type="spellStart"/>
      <w:r>
        <w:t>interconnections</w:t>
      </w:r>
      <w:proofErr w:type="spellEnd"/>
      <w:r>
        <w:t xml:space="preserve"> en Europa del Oeste y en el Este y sur de Europa. Las áreas </w:t>
      </w:r>
      <w:r w:rsidRPr="005663F6">
        <w:t>temáticas</w:t>
      </w:r>
      <w:r>
        <w:t xml:space="preserve"> prioritarias se concentran en tres: </w:t>
      </w:r>
      <w:proofErr w:type="spellStart"/>
      <w:r>
        <w:t>smart</w:t>
      </w:r>
      <w:proofErr w:type="spellEnd"/>
      <w:r>
        <w:t xml:space="preserve"> </w:t>
      </w:r>
      <w:proofErr w:type="spellStart"/>
      <w:r>
        <w:t>grids</w:t>
      </w:r>
      <w:proofErr w:type="spellEnd"/>
      <w:r>
        <w:t>, autopistas de electricidad e incluso una red intrafronteriza de CO</w:t>
      </w:r>
      <w:r w:rsidRPr="005B71F7">
        <w:rPr>
          <w:vertAlign w:val="subscript"/>
        </w:rPr>
        <w:t>2</w:t>
      </w:r>
      <w:r>
        <w:t>. (PIE 31.10)</w:t>
      </w:r>
    </w:p>
    <w:p w:rsidR="000322F5" w:rsidRDefault="000322F5" w:rsidP="003429D5">
      <w:pPr>
        <w:shd w:val="clear" w:color="auto" w:fill="FFFFFF"/>
        <w:spacing w:before="100" w:beforeAutospacing="1" w:after="100" w:afterAutospacing="1" w:line="276" w:lineRule="auto"/>
      </w:pPr>
      <w:r>
        <w:t xml:space="preserve">Además, el Parlamento Europeo a mediados de septiembre aprobó la regulación sobre integridad y transparencia del mercado energético (REMIT). Estas normas regularán lo relacionado con el comercio en el mercado mayorista de electricidad incluyendo contratos fijos y derivados de modo que se evite la manipulación de los precios y en general las malas prácticas en el mercado. El nuevo compromiso incluye la obligatoriedad para los </w:t>
      </w:r>
      <w:proofErr w:type="spellStart"/>
      <w:r w:rsidRPr="00990BA5">
        <w:rPr>
          <w:i/>
        </w:rPr>
        <w:t>traders</w:t>
      </w:r>
      <w:proofErr w:type="spellEnd"/>
      <w:r w:rsidRPr="00990BA5">
        <w:rPr>
          <w:i/>
        </w:rPr>
        <w:t xml:space="preserve"> </w:t>
      </w:r>
      <w:r>
        <w:t>de registrarse a nivel nacional, siendo ACER responsable de elaborar una base de datos con todos los participantes. ACER colaborará en la investigación del incumplimiento de las normas del mercado y los gobiernos penalizarán a dichas empresas. Queda pendiente su publicación en el Diario Oficial de la UE y entrará en vigor a los 20 días de su publicación (EUE 22.09).</w:t>
      </w:r>
    </w:p>
    <w:p w:rsidR="000322F5" w:rsidRDefault="000322F5" w:rsidP="003429D5">
      <w:pPr>
        <w:shd w:val="clear" w:color="auto" w:fill="FFFFFF"/>
        <w:spacing w:before="100" w:beforeAutospacing="1" w:after="100" w:afterAutospacing="1" w:line="276" w:lineRule="auto"/>
      </w:pPr>
      <w:r>
        <w:t>Por otra parte</w:t>
      </w:r>
      <w:r w:rsidR="00870DCB">
        <w:t>,</w:t>
      </w:r>
      <w:r>
        <w:t xml:space="preserve"> la CE avisa de que si los países no tienen preparados sus planes nacionales de asignación de emisiones, la Fase III del EUT-ETS se retrasará y no se podrá realizar la asignación gratuita de derechos antes de enero de 2013 (EUE 21.10)</w:t>
      </w:r>
      <w:r w:rsidR="00870DCB">
        <w:t>.</w:t>
      </w:r>
    </w:p>
    <w:p w:rsidR="000322F5" w:rsidRPr="000C2356" w:rsidRDefault="000322F5" w:rsidP="003429D5">
      <w:pPr>
        <w:pStyle w:val="Ttulo2"/>
      </w:pPr>
      <w:r>
        <w:t>Otras cuestiones de interés</w:t>
      </w:r>
    </w:p>
    <w:p w:rsidR="000322F5" w:rsidRDefault="000322F5" w:rsidP="003429D5">
      <w:pPr>
        <w:pStyle w:val="Ttulo3"/>
        <w:rPr>
          <w:lang w:val="es-ES_tradnl"/>
        </w:rPr>
      </w:pPr>
      <w:r>
        <w:rPr>
          <w:lang w:val="es-ES_tradnl"/>
        </w:rPr>
        <w:t>Europa – Energías Renovables, emisiones, eficiencia y otros temas de medio ambiente</w:t>
      </w:r>
    </w:p>
    <w:p w:rsidR="000322F5" w:rsidRPr="005663F6" w:rsidRDefault="000322F5" w:rsidP="005A3112">
      <w:pPr>
        <w:numPr>
          <w:ilvl w:val="0"/>
          <w:numId w:val="2"/>
        </w:numPr>
        <w:spacing w:before="100" w:beforeAutospacing="1" w:line="276" w:lineRule="auto"/>
        <w:ind w:left="284" w:hanging="284"/>
        <w:rPr>
          <w:lang w:val="es-ES_tradnl"/>
        </w:rPr>
      </w:pPr>
      <w:r w:rsidRPr="005663F6">
        <w:rPr>
          <w:b/>
          <w:lang w:val="es-ES_tradnl"/>
        </w:rPr>
        <w:t>El Gobi</w:t>
      </w:r>
      <w:r>
        <w:rPr>
          <w:b/>
          <w:lang w:val="es-ES_tradnl"/>
        </w:rPr>
        <w:t xml:space="preserve">erno alemán destinará 95.000 millones </w:t>
      </w:r>
      <w:r w:rsidRPr="005663F6">
        <w:rPr>
          <w:b/>
          <w:lang w:val="es-ES_tradnl"/>
        </w:rPr>
        <w:t>EUR para energías renovables</w:t>
      </w:r>
      <w:r w:rsidRPr="005663F6">
        <w:rPr>
          <w:lang w:val="es-ES_tradnl"/>
        </w:rPr>
        <w:t xml:space="preserve"> para sustituir el déficit de generación tras el cierre de las centrales nucleares. </w:t>
      </w:r>
      <w:r w:rsidRPr="005663F6">
        <w:t>Además, el 6º Programa de investigación energética del Gobierno pondrá a disposición</w:t>
      </w:r>
      <w:r>
        <w:t xml:space="preserve"> 202.000 millones</w:t>
      </w:r>
      <w:r w:rsidRPr="005663F6">
        <w:t xml:space="preserve"> EUR para financiar iniciativas de almacenamiento de energía para los próximos 3 años. </w:t>
      </w:r>
      <w:r w:rsidRPr="005663F6">
        <w:rPr>
          <w:lang w:val="es-ES_tradnl"/>
        </w:rPr>
        <w:t>(</w:t>
      </w:r>
      <w:proofErr w:type="spellStart"/>
      <w:r w:rsidRPr="005663F6">
        <w:rPr>
          <w:lang w:val="es-ES_tradnl"/>
        </w:rPr>
        <w:t>Greenwirenews</w:t>
      </w:r>
      <w:proofErr w:type="spellEnd"/>
      <w:r w:rsidRPr="005663F6">
        <w:rPr>
          <w:lang w:val="es-ES_tradnl"/>
        </w:rPr>
        <w:t xml:space="preserve"> </w:t>
      </w:r>
      <w:proofErr w:type="spellStart"/>
      <w:r w:rsidRPr="005663F6">
        <w:rPr>
          <w:lang w:val="es-ES_tradnl"/>
        </w:rPr>
        <w:t>agency</w:t>
      </w:r>
      <w:proofErr w:type="spellEnd"/>
      <w:r w:rsidRPr="005663F6">
        <w:rPr>
          <w:lang w:val="es-ES_tradnl"/>
        </w:rPr>
        <w:t>, 20.10).</w:t>
      </w:r>
    </w:p>
    <w:p w:rsidR="000322F5" w:rsidRPr="005663F6" w:rsidRDefault="000322F5" w:rsidP="005A3112">
      <w:pPr>
        <w:numPr>
          <w:ilvl w:val="0"/>
          <w:numId w:val="2"/>
        </w:numPr>
        <w:spacing w:before="100" w:beforeAutospacing="1" w:line="276" w:lineRule="auto"/>
        <w:ind w:left="284" w:hanging="284"/>
      </w:pPr>
      <w:r w:rsidRPr="005663F6">
        <w:rPr>
          <w:b/>
          <w:lang w:val="es-ES_tradnl"/>
        </w:rPr>
        <w:t xml:space="preserve">Además, se espera que Alemania reduzca el incentivo a la fotovoltaica en 2012 en un 6% </w:t>
      </w:r>
      <w:r w:rsidRPr="005663F6">
        <w:rPr>
          <w:lang w:val="es-ES_tradnl"/>
        </w:rPr>
        <w:t>tras el boom experimentado este año. De octubre 2010 a septiembre 2011 se han instalado 5.2</w:t>
      </w:r>
      <w:r w:rsidR="007F0BDB">
        <w:rPr>
          <w:lang w:val="es-ES_tradnl"/>
        </w:rPr>
        <w:t xml:space="preserve"> </w:t>
      </w:r>
      <w:r w:rsidRPr="005663F6">
        <w:rPr>
          <w:lang w:val="es-ES_tradnl"/>
        </w:rPr>
        <w:t>GW de solar PV, siendo el límite de 4.5</w:t>
      </w:r>
      <w:r w:rsidR="007F0BDB">
        <w:rPr>
          <w:lang w:val="es-ES_tradnl"/>
        </w:rPr>
        <w:t xml:space="preserve"> </w:t>
      </w:r>
      <w:r w:rsidRPr="005663F6">
        <w:rPr>
          <w:lang w:val="es-ES_tradnl"/>
        </w:rPr>
        <w:t>GW. Cuando se excedan los 5.5</w:t>
      </w:r>
      <w:r w:rsidR="007F0BDB">
        <w:rPr>
          <w:lang w:val="es-ES_tradnl"/>
        </w:rPr>
        <w:t xml:space="preserve"> </w:t>
      </w:r>
      <w:r w:rsidRPr="005663F6">
        <w:rPr>
          <w:lang w:val="es-ES_tradnl"/>
        </w:rPr>
        <w:t xml:space="preserve">GW la reducción será del 18%. (ADP </w:t>
      </w:r>
      <w:proofErr w:type="spellStart"/>
      <w:r w:rsidRPr="005663F6">
        <w:rPr>
          <w:lang w:val="es-ES_tradnl"/>
        </w:rPr>
        <w:t>Renewable</w:t>
      </w:r>
      <w:proofErr w:type="spellEnd"/>
      <w:r w:rsidRPr="005663F6">
        <w:rPr>
          <w:lang w:val="es-ES_tradnl"/>
        </w:rPr>
        <w:t xml:space="preserve"> </w:t>
      </w:r>
      <w:proofErr w:type="spellStart"/>
      <w:r w:rsidRPr="005663F6">
        <w:rPr>
          <w:lang w:val="es-ES_tradnl"/>
        </w:rPr>
        <w:t>energy</w:t>
      </w:r>
      <w:proofErr w:type="spellEnd"/>
      <w:r w:rsidRPr="005663F6">
        <w:rPr>
          <w:lang w:val="es-ES_tradnl"/>
        </w:rPr>
        <w:t xml:space="preserve"> </w:t>
      </w:r>
      <w:proofErr w:type="spellStart"/>
      <w:r w:rsidRPr="005663F6">
        <w:rPr>
          <w:lang w:val="es-ES_tradnl"/>
        </w:rPr>
        <w:t>track</w:t>
      </w:r>
      <w:proofErr w:type="spellEnd"/>
      <w:r w:rsidRPr="005663F6">
        <w:rPr>
          <w:lang w:val="es-ES_tradnl"/>
        </w:rPr>
        <w:t xml:space="preserve"> 27.10)</w:t>
      </w:r>
    </w:p>
    <w:p w:rsidR="000322F5" w:rsidRDefault="000322F5" w:rsidP="005A3112">
      <w:pPr>
        <w:numPr>
          <w:ilvl w:val="0"/>
          <w:numId w:val="2"/>
        </w:numPr>
        <w:spacing w:before="100" w:beforeAutospacing="1" w:line="276" w:lineRule="auto"/>
        <w:ind w:left="284" w:hanging="284"/>
        <w:rPr>
          <w:lang w:val="es-ES_tradnl"/>
        </w:rPr>
      </w:pPr>
      <w:r>
        <w:rPr>
          <w:b/>
          <w:lang w:val="es-ES_tradnl"/>
        </w:rPr>
        <w:t>Según la industria francesa, la nueva normativa de renovables aumenta el plazo de obtención de permisos</w:t>
      </w:r>
      <w:r w:rsidRPr="00D56BDB">
        <w:rPr>
          <w:lang w:val="es-ES_tradnl"/>
        </w:rPr>
        <w:t>:</w:t>
      </w:r>
      <w:r>
        <w:rPr>
          <w:lang w:val="es-ES_tradnl"/>
        </w:rPr>
        <w:t xml:space="preserve"> en la actualidad el plazo para obtener permisos de eólica toma 8 años (frente a la media europea de 4,5 años).</w:t>
      </w:r>
      <w:r w:rsidR="007F0BDB">
        <w:rPr>
          <w:lang w:val="es-ES_tradnl"/>
        </w:rPr>
        <w:t xml:space="preserve"> </w:t>
      </w:r>
      <w:r>
        <w:rPr>
          <w:lang w:val="es-ES_tradnl"/>
        </w:rPr>
        <w:t>El gobierno quiere que las eólicas obtengan una clasificación diseñada para proteger el medioambiente del impacto de los parques, lo que según la industria eólica, retrasa más los plazos. (RER 19.09)</w:t>
      </w:r>
    </w:p>
    <w:p w:rsidR="000322F5" w:rsidRPr="005663F6" w:rsidRDefault="000322F5" w:rsidP="005A3112">
      <w:pPr>
        <w:numPr>
          <w:ilvl w:val="0"/>
          <w:numId w:val="2"/>
        </w:numPr>
        <w:spacing w:before="100" w:beforeAutospacing="1" w:line="276" w:lineRule="auto"/>
        <w:ind w:left="284" w:hanging="284"/>
        <w:rPr>
          <w:lang w:val="es-ES_tradnl"/>
        </w:rPr>
      </w:pPr>
      <w:r w:rsidRPr="005663F6">
        <w:rPr>
          <w:b/>
          <w:lang w:val="es-ES_tradnl"/>
        </w:rPr>
        <w:t xml:space="preserve">El departamento de energía irlandés actualiza las medidas de apoyo a las renovables. </w:t>
      </w:r>
      <w:r w:rsidRPr="005663F6">
        <w:rPr>
          <w:lang w:val="es-ES_tradnl"/>
        </w:rPr>
        <w:t xml:space="preserve">Irlanda cuenta desde el 2006 con un sistema de promoción tipo </w:t>
      </w:r>
      <w:proofErr w:type="spellStart"/>
      <w:r w:rsidRPr="005663F6">
        <w:rPr>
          <w:i/>
          <w:lang w:val="es-ES_tradnl"/>
        </w:rPr>
        <w:t>feed</w:t>
      </w:r>
      <w:proofErr w:type="spellEnd"/>
      <w:r w:rsidRPr="005663F6">
        <w:rPr>
          <w:i/>
          <w:lang w:val="es-ES_tradnl"/>
        </w:rPr>
        <w:t xml:space="preserve"> in </w:t>
      </w:r>
      <w:proofErr w:type="spellStart"/>
      <w:r w:rsidRPr="005663F6">
        <w:rPr>
          <w:i/>
          <w:lang w:val="es-ES_tradnl"/>
        </w:rPr>
        <w:t>tariff</w:t>
      </w:r>
      <w:proofErr w:type="spellEnd"/>
      <w:r w:rsidRPr="005663F6">
        <w:rPr>
          <w:lang w:val="es-ES_tradnl"/>
        </w:rPr>
        <w:t>, el cual actualiza con esta nueva acción. (</w:t>
      </w:r>
      <w:proofErr w:type="spellStart"/>
      <w:r w:rsidRPr="005663F6">
        <w:rPr>
          <w:lang w:val="es-ES_tradnl"/>
        </w:rPr>
        <w:t>Mondaq</w:t>
      </w:r>
      <w:proofErr w:type="spellEnd"/>
      <w:r w:rsidRPr="005663F6">
        <w:rPr>
          <w:lang w:val="es-ES_tradnl"/>
        </w:rPr>
        <w:t xml:space="preserve"> </w:t>
      </w:r>
      <w:proofErr w:type="spellStart"/>
      <w:r w:rsidRPr="005663F6">
        <w:rPr>
          <w:lang w:val="es-ES_tradnl"/>
        </w:rPr>
        <w:t>Bussiness</w:t>
      </w:r>
      <w:proofErr w:type="spellEnd"/>
      <w:r w:rsidRPr="005663F6">
        <w:rPr>
          <w:lang w:val="es-ES_tradnl"/>
        </w:rPr>
        <w:t xml:space="preserve"> </w:t>
      </w:r>
      <w:proofErr w:type="spellStart"/>
      <w:r w:rsidRPr="005663F6">
        <w:rPr>
          <w:lang w:val="es-ES_tradnl"/>
        </w:rPr>
        <w:t>Briefing</w:t>
      </w:r>
      <w:proofErr w:type="spellEnd"/>
      <w:r w:rsidRPr="005663F6">
        <w:rPr>
          <w:lang w:val="es-ES_tradnl"/>
        </w:rPr>
        <w:t xml:space="preserve"> 12.10)</w:t>
      </w:r>
    </w:p>
    <w:p w:rsidR="000322F5" w:rsidRDefault="000322F5" w:rsidP="005A3112">
      <w:pPr>
        <w:numPr>
          <w:ilvl w:val="0"/>
          <w:numId w:val="2"/>
        </w:numPr>
        <w:spacing w:before="100" w:beforeAutospacing="1" w:line="276" w:lineRule="auto"/>
        <w:ind w:left="284" w:hanging="284"/>
        <w:rPr>
          <w:lang w:val="es-ES_tradnl"/>
        </w:rPr>
      </w:pPr>
      <w:r>
        <w:rPr>
          <w:b/>
          <w:lang w:val="es-ES_tradnl"/>
        </w:rPr>
        <w:t>El registro único de CO</w:t>
      </w:r>
      <w:r w:rsidRPr="00990BA5">
        <w:rPr>
          <w:b/>
          <w:vertAlign w:val="subscript"/>
          <w:lang w:val="es-ES_tradnl"/>
        </w:rPr>
        <w:t>2</w:t>
      </w:r>
      <w:r>
        <w:rPr>
          <w:b/>
          <w:lang w:val="es-ES_tradnl"/>
        </w:rPr>
        <w:t xml:space="preserve"> de la UE atraviesa su fase final</w:t>
      </w:r>
      <w:r w:rsidRPr="007B6174">
        <w:rPr>
          <w:lang w:val="es-ES_tradnl"/>
        </w:rPr>
        <w:t>.</w:t>
      </w:r>
      <w:r>
        <w:rPr>
          <w:lang w:val="es-ES_tradnl"/>
        </w:rPr>
        <w:t xml:space="preserve"> Este sistema único sustituirá el actual registro individual de cada país de modo que el comercio de CO</w:t>
      </w:r>
      <w:r w:rsidRPr="007F0BDB">
        <w:rPr>
          <w:vertAlign w:val="subscript"/>
          <w:lang w:val="es-ES_tradnl"/>
        </w:rPr>
        <w:t xml:space="preserve">2 </w:t>
      </w:r>
      <w:r>
        <w:rPr>
          <w:lang w:val="es-ES_tradnl"/>
        </w:rPr>
        <w:t>se hará de modo centralizado. (EUE 23.09).</w:t>
      </w:r>
    </w:p>
    <w:p w:rsidR="000322F5" w:rsidRDefault="000322F5" w:rsidP="005A3112">
      <w:pPr>
        <w:numPr>
          <w:ilvl w:val="0"/>
          <w:numId w:val="2"/>
        </w:numPr>
        <w:spacing w:before="100" w:beforeAutospacing="1" w:line="276" w:lineRule="auto"/>
        <w:ind w:left="284" w:hanging="284"/>
        <w:rPr>
          <w:lang w:val="es-ES_tradnl"/>
        </w:rPr>
      </w:pPr>
      <w:r>
        <w:rPr>
          <w:b/>
          <w:lang w:val="es-ES_tradnl"/>
        </w:rPr>
        <w:t>Los proyectos de CCS sufren un revés en Alemania, al rechazar la cámara alta la ley que transpone la Directiva sobre almacenamiento geológico de CCS</w:t>
      </w:r>
      <w:r>
        <w:rPr>
          <w:lang w:val="es-ES_tradnl"/>
        </w:rPr>
        <w:t>. La ley debe volver a ahora a la cámara baja. (GPR 29.09)</w:t>
      </w:r>
      <w:r w:rsidR="007F0BDB">
        <w:rPr>
          <w:lang w:val="es-ES_tradnl"/>
        </w:rPr>
        <w:t xml:space="preserve">, </w:t>
      </w:r>
      <w:r>
        <w:rPr>
          <w:lang w:val="es-ES_tradnl"/>
        </w:rPr>
        <w:t>(PIE 03.10)</w:t>
      </w:r>
      <w:r w:rsidR="007F0BDB">
        <w:rPr>
          <w:lang w:val="es-ES_tradnl"/>
        </w:rPr>
        <w:t xml:space="preserve"> y </w:t>
      </w:r>
      <w:r>
        <w:rPr>
          <w:lang w:val="es-ES_tradnl"/>
        </w:rPr>
        <w:t>(EUE 07.10).</w:t>
      </w:r>
    </w:p>
    <w:p w:rsidR="000322F5" w:rsidRPr="005663F6" w:rsidRDefault="000322F5" w:rsidP="005A3112">
      <w:pPr>
        <w:numPr>
          <w:ilvl w:val="0"/>
          <w:numId w:val="2"/>
        </w:numPr>
        <w:spacing w:before="100" w:beforeAutospacing="1" w:line="276" w:lineRule="auto"/>
        <w:ind w:left="284" w:hanging="284"/>
        <w:rPr>
          <w:lang w:val="es-ES_tradnl"/>
        </w:rPr>
      </w:pPr>
      <w:r w:rsidRPr="005663F6">
        <w:rPr>
          <w:b/>
          <w:lang w:val="es-ES_tradnl"/>
        </w:rPr>
        <w:t>El gobierno de Chequia dará derechos de emisión de CO</w:t>
      </w:r>
      <w:r w:rsidRPr="005663F6">
        <w:rPr>
          <w:b/>
          <w:vertAlign w:val="subscript"/>
          <w:lang w:val="es-ES_tradnl"/>
        </w:rPr>
        <w:t>2</w:t>
      </w:r>
      <w:r w:rsidRPr="005663F6">
        <w:rPr>
          <w:b/>
          <w:lang w:val="es-ES_tradnl"/>
        </w:rPr>
        <w:t xml:space="preserve"> de 2013-20 gratis, </w:t>
      </w:r>
      <w:r w:rsidRPr="005663F6">
        <w:rPr>
          <w:lang w:val="es-ES_tradnl"/>
        </w:rPr>
        <w:t>como devolución a las inversiones que se hayan realizado en reducir las emisiones, en vez de subastarlos. El mayor beneficiario será la compañía CEZ y los derechos que no se utilicen se devolverán para su subasta. (EUE 07.10)</w:t>
      </w:r>
      <w:r w:rsidRPr="005663F6">
        <w:t xml:space="preserve"> El acuerdo propone conceder 108,2 millones de permisos de CO</w:t>
      </w:r>
      <w:r w:rsidRPr="007F0BDB">
        <w:rPr>
          <w:vertAlign w:val="subscript"/>
        </w:rPr>
        <w:t>2</w:t>
      </w:r>
      <w:r w:rsidRPr="005663F6">
        <w:t xml:space="preserve"> entre 2013 y 2020, de los cuales la empresa estatal CEZ recibiría 74,9 millones. A cambio los generadores deberán invertir en modernización, mejoras y tecnologías limpias. (GPR 01.09) </w:t>
      </w:r>
    </w:p>
    <w:p w:rsidR="000322F5" w:rsidRDefault="000322F5" w:rsidP="005A3112">
      <w:pPr>
        <w:numPr>
          <w:ilvl w:val="0"/>
          <w:numId w:val="2"/>
        </w:numPr>
        <w:spacing w:before="100" w:beforeAutospacing="1" w:line="276" w:lineRule="auto"/>
        <w:ind w:left="284" w:hanging="284"/>
      </w:pPr>
      <w:r>
        <w:rPr>
          <w:b/>
        </w:rPr>
        <w:t xml:space="preserve">Noruega ve aumentar un 4,6% el coste de su proyecto de CCS de </w:t>
      </w:r>
      <w:proofErr w:type="spellStart"/>
      <w:r>
        <w:rPr>
          <w:b/>
        </w:rPr>
        <w:t>Mongstad</w:t>
      </w:r>
      <w:proofErr w:type="spellEnd"/>
      <w:r>
        <w:rPr>
          <w:b/>
        </w:rPr>
        <w:t>.</w:t>
      </w:r>
      <w:r>
        <w:t xml:space="preserve"> En la actualidad se ha construido en un 80% y se espera que empiecen los test a principios de 2012. El proyecto original contempla dos centrales que capturen 1,5 mill</w:t>
      </w:r>
      <w:r w:rsidR="00C95522">
        <w:t>ones</w:t>
      </w:r>
      <w:r>
        <w:t xml:space="preserve"> </w:t>
      </w:r>
      <w:proofErr w:type="spellStart"/>
      <w:r>
        <w:t>mt</w:t>
      </w:r>
      <w:proofErr w:type="spellEnd"/>
      <w:r>
        <w:t>/año y que estarán en funcionamiento en 2014. Los costes se han debido a retrasos logísticos y dudas sobre su efecto en humanos. (GPR 13.10)</w:t>
      </w:r>
    </w:p>
    <w:p w:rsidR="000322F5" w:rsidRPr="007F0BDB" w:rsidRDefault="000322F5" w:rsidP="005A3112">
      <w:pPr>
        <w:numPr>
          <w:ilvl w:val="0"/>
          <w:numId w:val="2"/>
        </w:numPr>
        <w:spacing w:before="100" w:beforeAutospacing="1" w:line="276" w:lineRule="auto"/>
        <w:ind w:left="284" w:hanging="284"/>
        <w:rPr>
          <w:rFonts w:asciiTheme="minorHAnsi" w:hAnsiTheme="minorHAnsi"/>
          <w:lang w:val="es-ES_tradnl"/>
        </w:rPr>
      </w:pPr>
      <w:r>
        <w:rPr>
          <w:b/>
          <w:lang w:val="es-ES_tradnl"/>
        </w:rPr>
        <w:t xml:space="preserve">El Gobierno </w:t>
      </w:r>
      <w:r w:rsidRPr="007F0BDB">
        <w:rPr>
          <w:rFonts w:asciiTheme="minorHAnsi" w:hAnsiTheme="minorHAnsi"/>
          <w:b/>
          <w:lang w:val="es-ES_tradnl"/>
        </w:rPr>
        <w:t xml:space="preserve">holandés publica </w:t>
      </w:r>
      <w:hyperlink r:id="rId7" w:history="1">
        <w:r w:rsidRPr="007F0BDB">
          <w:rPr>
            <w:rStyle w:val="Hipervnculo"/>
            <w:rFonts w:asciiTheme="minorHAnsi" w:hAnsiTheme="minorHAnsi"/>
            <w:b/>
            <w:lang w:val="es-ES_tradnl"/>
          </w:rPr>
          <w:t>59 iniciativas</w:t>
        </w:r>
      </w:hyperlink>
      <w:r w:rsidRPr="007F0BDB">
        <w:rPr>
          <w:rFonts w:asciiTheme="minorHAnsi" w:hAnsiTheme="minorHAnsi"/>
          <w:b/>
          <w:lang w:val="es-ES_tradnl"/>
        </w:rPr>
        <w:t xml:space="preserve"> en su programa </w:t>
      </w:r>
      <w:r w:rsidRPr="007F0BDB">
        <w:rPr>
          <w:rFonts w:asciiTheme="minorHAnsi" w:hAnsiTheme="minorHAnsi"/>
          <w:b/>
          <w:i/>
          <w:lang w:val="es-ES_tradnl"/>
        </w:rPr>
        <w:t xml:space="preserve">Green </w:t>
      </w:r>
      <w:proofErr w:type="spellStart"/>
      <w:r w:rsidRPr="007F0BDB">
        <w:rPr>
          <w:rFonts w:asciiTheme="minorHAnsi" w:hAnsiTheme="minorHAnsi"/>
          <w:b/>
          <w:i/>
          <w:lang w:val="es-ES_tradnl"/>
        </w:rPr>
        <w:t>Deal</w:t>
      </w:r>
      <w:proofErr w:type="spellEnd"/>
      <w:r w:rsidRPr="007F0BDB">
        <w:rPr>
          <w:rFonts w:asciiTheme="minorHAnsi" w:hAnsiTheme="minorHAnsi"/>
          <w:b/>
          <w:lang w:val="es-ES_tradnl"/>
        </w:rPr>
        <w:t>, diseñadas para promover el crecimiento económico sostenible y reducir las emisiones de CO</w:t>
      </w:r>
      <w:r w:rsidRPr="007F0BDB">
        <w:rPr>
          <w:rFonts w:asciiTheme="minorHAnsi" w:hAnsiTheme="minorHAnsi"/>
          <w:b/>
          <w:vertAlign w:val="subscript"/>
          <w:lang w:val="es-ES_tradnl"/>
        </w:rPr>
        <w:t>2</w:t>
      </w:r>
      <w:r w:rsidRPr="007F0BDB">
        <w:rPr>
          <w:rFonts w:asciiTheme="minorHAnsi" w:hAnsiTheme="minorHAnsi"/>
          <w:b/>
          <w:lang w:val="es-ES_tradnl"/>
        </w:rPr>
        <w:t>:</w:t>
      </w:r>
      <w:r w:rsidRPr="007F0BDB">
        <w:rPr>
          <w:rFonts w:asciiTheme="minorHAnsi" w:hAnsiTheme="minorHAnsi"/>
          <w:lang w:val="es-ES_tradnl"/>
        </w:rPr>
        <w:t xml:space="preserve"> los proyectos contemplados contemplan todas las energías y redes inteligentes e incluyen proyectos piloto o en fase de demostración. (PIE 17.10)</w:t>
      </w:r>
    </w:p>
    <w:p w:rsidR="000322F5" w:rsidRDefault="000322F5" w:rsidP="005A3112">
      <w:pPr>
        <w:numPr>
          <w:ilvl w:val="0"/>
          <w:numId w:val="2"/>
        </w:numPr>
        <w:spacing w:before="100" w:beforeAutospacing="1" w:line="276" w:lineRule="auto"/>
        <w:ind w:left="284" w:hanging="284"/>
        <w:rPr>
          <w:lang w:val="es-ES_tradnl"/>
        </w:rPr>
      </w:pPr>
      <w:r>
        <w:rPr>
          <w:b/>
          <w:lang w:val="es-ES_tradnl"/>
        </w:rPr>
        <w:t xml:space="preserve">Las </w:t>
      </w:r>
      <w:proofErr w:type="spellStart"/>
      <w:r w:rsidRPr="00E34C85">
        <w:rPr>
          <w:b/>
          <w:i/>
          <w:lang w:val="es-ES_tradnl"/>
        </w:rPr>
        <w:t>feed</w:t>
      </w:r>
      <w:proofErr w:type="spellEnd"/>
      <w:r w:rsidRPr="00E34C85">
        <w:rPr>
          <w:b/>
          <w:i/>
          <w:lang w:val="es-ES_tradnl"/>
        </w:rPr>
        <w:t xml:space="preserve"> in </w:t>
      </w:r>
      <w:proofErr w:type="spellStart"/>
      <w:r w:rsidRPr="00E34C85">
        <w:rPr>
          <w:b/>
          <w:i/>
          <w:lang w:val="es-ES_tradnl"/>
        </w:rPr>
        <w:t>tariff</w:t>
      </w:r>
      <w:proofErr w:type="spellEnd"/>
      <w:r>
        <w:rPr>
          <w:b/>
          <w:lang w:val="es-ES_tradnl"/>
        </w:rPr>
        <w:t xml:space="preserve"> suizas serán modernizadas para hacer frente al </w:t>
      </w:r>
      <w:proofErr w:type="spellStart"/>
      <w:r w:rsidRPr="00E34C85">
        <w:rPr>
          <w:b/>
          <w:i/>
          <w:lang w:val="es-ES_tradnl"/>
        </w:rPr>
        <w:t>phase-out</w:t>
      </w:r>
      <w:proofErr w:type="spellEnd"/>
      <w:r>
        <w:rPr>
          <w:b/>
          <w:lang w:val="es-ES_tradnl"/>
        </w:rPr>
        <w:t xml:space="preserve"> nuclear: </w:t>
      </w:r>
      <w:r w:rsidRPr="00E34C85">
        <w:rPr>
          <w:lang w:val="es-ES_tradnl"/>
        </w:rPr>
        <w:t>Hasta la fecha 4.500 proyectos han sido aprobado para recibir subsidios y otros 12.210 están en espera, con un potencial de 8,7</w:t>
      </w:r>
      <w:r w:rsidR="007F0BDB">
        <w:rPr>
          <w:lang w:val="es-ES_tradnl"/>
        </w:rPr>
        <w:t xml:space="preserve"> </w:t>
      </w:r>
      <w:r w:rsidRPr="00E34C85">
        <w:rPr>
          <w:lang w:val="es-ES_tradnl"/>
        </w:rPr>
        <w:t>TWh/año. (PIE 17.10)</w:t>
      </w:r>
    </w:p>
    <w:p w:rsidR="000322F5" w:rsidRPr="00990BA5" w:rsidRDefault="000322F5" w:rsidP="005A3112">
      <w:pPr>
        <w:numPr>
          <w:ilvl w:val="0"/>
          <w:numId w:val="2"/>
        </w:numPr>
        <w:spacing w:before="100" w:beforeAutospacing="1" w:line="276" w:lineRule="auto"/>
        <w:ind w:left="284" w:hanging="284"/>
        <w:rPr>
          <w:lang w:val="es-ES_tradnl"/>
        </w:rPr>
      </w:pPr>
      <w:r w:rsidRPr="00990BA5">
        <w:rPr>
          <w:b/>
          <w:lang w:val="es-ES_tradnl"/>
        </w:rPr>
        <w:t>Chipre publicará antes de fin de año su nueva estrategia de renovables, tras la importante pérdida de capacidad sufrida al quedar inutilizada la mayor central energética del país.</w:t>
      </w:r>
      <w:r w:rsidRPr="00990BA5">
        <w:rPr>
          <w:lang w:val="es-ES_tradnl"/>
        </w:rPr>
        <w:t xml:space="preserve"> El gobierno quiere cubrir el 13% de las necesidades energéticas del país con renovables para 2020. (RER 05.09)</w:t>
      </w:r>
      <w:r w:rsidR="007F0BDB">
        <w:rPr>
          <w:lang w:val="es-ES_tradnl"/>
        </w:rPr>
        <w:t xml:space="preserve"> y </w:t>
      </w:r>
      <w:r w:rsidRPr="00990BA5">
        <w:rPr>
          <w:lang w:val="es-ES_tradnl"/>
        </w:rPr>
        <w:t>(EUE 09.09)</w:t>
      </w:r>
      <w:r>
        <w:rPr>
          <w:lang w:val="es-ES_tradnl"/>
        </w:rPr>
        <w:t>.</w:t>
      </w:r>
      <w:r w:rsidRPr="00990BA5">
        <w:rPr>
          <w:lang w:val="es-ES_tradnl"/>
        </w:rPr>
        <w:t xml:space="preserve"> </w:t>
      </w:r>
      <w:r w:rsidRPr="00990BA5">
        <w:rPr>
          <w:b/>
          <w:lang w:val="es-ES_tradnl"/>
        </w:rPr>
        <w:t>Chipre considera convertir varias centrales de fuel-</w:t>
      </w:r>
      <w:proofErr w:type="spellStart"/>
      <w:r w:rsidRPr="00990BA5">
        <w:rPr>
          <w:b/>
          <w:lang w:val="es-ES_tradnl"/>
        </w:rPr>
        <w:t>oil</w:t>
      </w:r>
      <w:proofErr w:type="spellEnd"/>
      <w:r w:rsidRPr="00990BA5">
        <w:rPr>
          <w:b/>
          <w:lang w:val="es-ES_tradnl"/>
        </w:rPr>
        <w:t xml:space="preserve"> y diesel a gas mientras explora un campo de gas en el mediterráneo</w:t>
      </w:r>
      <w:r w:rsidRPr="00990BA5">
        <w:rPr>
          <w:lang w:val="es-ES_tradnl"/>
        </w:rPr>
        <w:t>. Se espera que el gas sea el principal combustible de generación a contar desde 2013, con consumos de cerca de 1</w:t>
      </w:r>
      <w:r w:rsidR="007F0BDB">
        <w:rPr>
          <w:lang w:val="es-ES_tradnl"/>
        </w:rPr>
        <w:t xml:space="preserve"> </w:t>
      </w:r>
      <w:proofErr w:type="spellStart"/>
      <w:r w:rsidRPr="00990BA5">
        <w:rPr>
          <w:lang w:val="es-ES_tradnl"/>
        </w:rPr>
        <w:t>bcm</w:t>
      </w:r>
      <w:proofErr w:type="spellEnd"/>
      <w:r w:rsidRPr="00990BA5">
        <w:rPr>
          <w:lang w:val="es-ES_tradnl"/>
        </w:rPr>
        <w:t>/año para 2015. (GPR 29.09)</w:t>
      </w:r>
    </w:p>
    <w:p w:rsidR="000322F5" w:rsidRPr="00CD647F" w:rsidRDefault="000322F5" w:rsidP="005A3112">
      <w:pPr>
        <w:numPr>
          <w:ilvl w:val="0"/>
          <w:numId w:val="2"/>
        </w:numPr>
        <w:spacing w:before="100" w:beforeAutospacing="1" w:line="276" w:lineRule="auto"/>
        <w:ind w:left="284" w:hanging="284"/>
        <w:rPr>
          <w:lang w:val="es-ES_tradnl"/>
        </w:rPr>
      </w:pPr>
      <w:r w:rsidRPr="00F60120">
        <w:rPr>
          <w:b/>
          <w:lang w:val="es-ES_tradnl"/>
        </w:rPr>
        <w:t>Estonia presenta por tercera vez su PNA con 13,3 millones de toneladas de CO</w:t>
      </w:r>
      <w:r w:rsidRPr="00990BA5">
        <w:rPr>
          <w:b/>
          <w:vertAlign w:val="subscript"/>
          <w:lang w:val="es-ES_tradnl"/>
        </w:rPr>
        <w:t>2</w:t>
      </w:r>
      <w:r w:rsidRPr="00F60120">
        <w:rPr>
          <w:b/>
          <w:lang w:val="es-ES_tradnl"/>
        </w:rPr>
        <w:t xml:space="preserve"> equivalentes para 2008</w:t>
      </w:r>
      <w:r w:rsidRPr="00990BA5">
        <w:rPr>
          <w:b/>
          <w:lang w:val="es-ES_tradnl"/>
        </w:rPr>
        <w:t xml:space="preserve">-2012. </w:t>
      </w:r>
      <w:r w:rsidRPr="00F60120">
        <w:rPr>
          <w:lang w:val="es-ES_tradnl"/>
        </w:rPr>
        <w:t xml:space="preserve">El </w:t>
      </w:r>
      <w:r>
        <w:rPr>
          <w:lang w:val="es-ES_tradnl"/>
        </w:rPr>
        <w:t>primer</w:t>
      </w:r>
      <w:r w:rsidRPr="00F60120">
        <w:rPr>
          <w:lang w:val="es-ES_tradnl"/>
        </w:rPr>
        <w:t xml:space="preserve"> plan presentado pedía 47,7 millones y el </w:t>
      </w:r>
      <w:r>
        <w:rPr>
          <w:lang w:val="es-ES_tradnl"/>
        </w:rPr>
        <w:t xml:space="preserve">siguiente 24,4 millones, que la </w:t>
      </w:r>
      <w:r w:rsidRPr="00F60120">
        <w:rPr>
          <w:lang w:val="es-ES_tradnl"/>
        </w:rPr>
        <w:t>C</w:t>
      </w:r>
      <w:r>
        <w:rPr>
          <w:lang w:val="es-ES_tradnl"/>
        </w:rPr>
        <w:t>E</w:t>
      </w:r>
      <w:r w:rsidRPr="00F60120">
        <w:rPr>
          <w:lang w:val="es-ES_tradnl"/>
        </w:rPr>
        <w:t xml:space="preserve"> redujo a la mitad. (EUE 09.09)</w:t>
      </w:r>
    </w:p>
    <w:p w:rsidR="000322F5" w:rsidRDefault="000322F5" w:rsidP="005A3112">
      <w:pPr>
        <w:numPr>
          <w:ilvl w:val="0"/>
          <w:numId w:val="2"/>
        </w:numPr>
        <w:spacing w:before="100" w:beforeAutospacing="1" w:line="276" w:lineRule="auto"/>
        <w:ind w:left="284" w:hanging="284"/>
        <w:rPr>
          <w:lang w:val="es-ES_tradnl"/>
        </w:rPr>
      </w:pPr>
      <w:r w:rsidRPr="00C91A31">
        <w:rPr>
          <w:b/>
          <w:lang w:val="es-ES_tradnl"/>
        </w:rPr>
        <w:t>Hungría aprueba su estrategia de energía sostenible para 2030</w:t>
      </w:r>
      <w:r>
        <w:rPr>
          <w:lang w:val="es-ES_tradnl"/>
        </w:rPr>
        <w:t>, con el objetivo de aumentar la independencia energética y reducir la polución. La estrategia identifica 5 herramientas: eficiencia energética, máximo desarrollo de renovables, política agrícola energética y alimentaria, nuclear segura y mayores interconexiones. Hungría quiere que el porcentaje de renovables en el suministro de energía primaria sea de un 20% en 2030. (EUE 21.10)</w:t>
      </w:r>
    </w:p>
    <w:p w:rsidR="000322F5" w:rsidRDefault="000322F5" w:rsidP="003429D5">
      <w:pPr>
        <w:pStyle w:val="Ttulo3"/>
        <w:rPr>
          <w:lang w:val="es-ES_tradnl"/>
        </w:rPr>
      </w:pPr>
      <w:r>
        <w:rPr>
          <w:lang w:val="es-ES_tradnl"/>
        </w:rPr>
        <w:t>Europa – Regulación y legislación</w:t>
      </w:r>
    </w:p>
    <w:p w:rsidR="000322F5" w:rsidRDefault="000322F5" w:rsidP="005A3112">
      <w:pPr>
        <w:numPr>
          <w:ilvl w:val="0"/>
          <w:numId w:val="3"/>
        </w:numPr>
        <w:spacing w:before="100" w:beforeAutospacing="1" w:line="276" w:lineRule="auto"/>
        <w:ind w:left="284" w:hanging="284"/>
      </w:pPr>
      <w:r>
        <w:rPr>
          <w:b/>
        </w:rPr>
        <w:t xml:space="preserve">El regulador italiano AEEG afirma que la </w:t>
      </w:r>
      <w:proofErr w:type="spellStart"/>
      <w:r w:rsidRPr="00142FB1">
        <w:rPr>
          <w:b/>
          <w:i/>
        </w:rPr>
        <w:t>Robin</w:t>
      </w:r>
      <w:proofErr w:type="spellEnd"/>
      <w:r w:rsidRPr="00142FB1">
        <w:rPr>
          <w:b/>
          <w:i/>
        </w:rPr>
        <w:t xml:space="preserve"> Hood </w:t>
      </w:r>
      <w:proofErr w:type="spellStart"/>
      <w:r w:rsidRPr="00142FB1">
        <w:rPr>
          <w:b/>
          <w:i/>
        </w:rPr>
        <w:t>tax</w:t>
      </w:r>
      <w:proofErr w:type="spellEnd"/>
      <w:r>
        <w:rPr>
          <w:b/>
        </w:rPr>
        <w:t xml:space="preserve"> sobre las energéticas tendrá un impacto negativo sobre las inversiones energéticas: </w:t>
      </w:r>
      <w:r w:rsidRPr="00142FB1">
        <w:t xml:space="preserve">el gobierno italiano propuso a mediados de agosto aumentar en un 4% </w:t>
      </w:r>
      <w:r>
        <w:t xml:space="preserve">(hasta el 10,5%) </w:t>
      </w:r>
      <w:r w:rsidRPr="00142FB1">
        <w:t xml:space="preserve">el impuesto de sociedades de las energéticas, lo cual según AEEG revertirá en </w:t>
      </w:r>
      <w:r>
        <w:t xml:space="preserve">una </w:t>
      </w:r>
      <w:r w:rsidRPr="00142FB1">
        <w:t>meno</w:t>
      </w:r>
      <w:r>
        <w:t xml:space="preserve">r </w:t>
      </w:r>
      <w:r w:rsidRPr="00142FB1">
        <w:t>inversi</w:t>
      </w:r>
      <w:r>
        <w:t>ón</w:t>
      </w:r>
      <w:r w:rsidRPr="00142FB1">
        <w:t xml:space="preserve"> de las empresas</w:t>
      </w:r>
      <w:r>
        <w:t xml:space="preserve"> en redes o capacidad</w:t>
      </w:r>
      <w:r w:rsidRPr="00142FB1">
        <w:t>. (EUE 29.07)</w:t>
      </w:r>
      <w:r>
        <w:t xml:space="preserve">. </w:t>
      </w:r>
      <w:r w:rsidRPr="00D56A89">
        <w:rPr>
          <w:b/>
        </w:rPr>
        <w:t xml:space="preserve">La aprobación el 14 de septiembre de la ley presupuestaria italiana, confirma la introducción de la </w:t>
      </w:r>
      <w:proofErr w:type="spellStart"/>
      <w:r w:rsidRPr="00D56A89">
        <w:rPr>
          <w:b/>
        </w:rPr>
        <w:t>Robin</w:t>
      </w:r>
      <w:proofErr w:type="spellEnd"/>
      <w:r w:rsidRPr="00D56A89">
        <w:rPr>
          <w:b/>
        </w:rPr>
        <w:t xml:space="preserve"> Hood </w:t>
      </w:r>
      <w:proofErr w:type="spellStart"/>
      <w:r w:rsidRPr="00D56A89">
        <w:rPr>
          <w:b/>
        </w:rPr>
        <w:t>Tax</w:t>
      </w:r>
      <w:proofErr w:type="spellEnd"/>
      <w:r>
        <w:t xml:space="preserve">. Debido a esto, </w:t>
      </w:r>
      <w:r w:rsidRPr="00D56A89">
        <w:t>el Parlamento italiano ha aprobado una agenda para discutir en el futuro la aplicación de medidas para mitigar los efectos del impuesto sobre el sector energético. (Citigroup</w:t>
      </w:r>
      <w:r>
        <w:t xml:space="preserve"> 16.09</w:t>
      </w:r>
      <w:r w:rsidRPr="00D56A89">
        <w:t>)</w:t>
      </w:r>
    </w:p>
    <w:p w:rsidR="000322F5" w:rsidRDefault="000322F5" w:rsidP="005A3112">
      <w:pPr>
        <w:numPr>
          <w:ilvl w:val="0"/>
          <w:numId w:val="3"/>
        </w:numPr>
        <w:spacing w:before="100" w:beforeAutospacing="1" w:line="276" w:lineRule="auto"/>
        <w:ind w:left="284" w:hanging="284"/>
      </w:pPr>
      <w:r>
        <w:rPr>
          <w:b/>
        </w:rPr>
        <w:t>El Gobierno francés ha anunciado una nueva tasa a los generadores, qu</w:t>
      </w:r>
      <w:r w:rsidR="00C95522">
        <w:rPr>
          <w:b/>
        </w:rPr>
        <w:t xml:space="preserve">e le permitirá recaudar 73 millones </w:t>
      </w:r>
      <w:r>
        <w:rPr>
          <w:b/>
        </w:rPr>
        <w:t>EUR.</w:t>
      </w:r>
      <w:r>
        <w:t xml:space="preserve"> Esta nueva tasa se situaría entre el 0,08 y 0,12% de los ingresos, excluidas tasas, de las empresas emisoras de más de 60.000 toneladas de CO</w:t>
      </w:r>
      <w:r w:rsidRPr="00990BA5">
        <w:rPr>
          <w:vertAlign w:val="subscript"/>
        </w:rPr>
        <w:t>2</w:t>
      </w:r>
      <w:r>
        <w:t>/año y que hayan participado en el EU-ETS. La GFI considera que mejor que esta tasa sería subastar todos los derechos del periodo 2013-17. (EUE 07.10)</w:t>
      </w:r>
    </w:p>
    <w:p w:rsidR="000322F5" w:rsidRPr="00AE68D2" w:rsidRDefault="000322F5" w:rsidP="003429D5">
      <w:pPr>
        <w:pStyle w:val="Ttulo3"/>
        <w:rPr>
          <w:lang w:val="es-ES_tradnl"/>
        </w:rPr>
      </w:pPr>
      <w:r w:rsidRPr="00AE68D2">
        <w:rPr>
          <w:lang w:val="es-ES_tradnl"/>
        </w:rPr>
        <w:t>Europa –</w:t>
      </w:r>
      <w:r>
        <w:rPr>
          <w:lang w:val="es-ES_tradnl"/>
        </w:rPr>
        <w:t xml:space="preserve"> Mercados</w:t>
      </w:r>
    </w:p>
    <w:p w:rsidR="000322F5" w:rsidRDefault="000322F5" w:rsidP="005A3112">
      <w:pPr>
        <w:numPr>
          <w:ilvl w:val="0"/>
          <w:numId w:val="4"/>
        </w:numPr>
        <w:spacing w:before="100" w:beforeAutospacing="1" w:line="276" w:lineRule="auto"/>
        <w:ind w:left="284" w:hanging="284"/>
      </w:pPr>
      <w:r>
        <w:rPr>
          <w:b/>
        </w:rPr>
        <w:t xml:space="preserve">El regulador holandés </w:t>
      </w:r>
      <w:proofErr w:type="spellStart"/>
      <w:r>
        <w:rPr>
          <w:b/>
        </w:rPr>
        <w:t>NMa</w:t>
      </w:r>
      <w:proofErr w:type="spellEnd"/>
      <w:r>
        <w:rPr>
          <w:b/>
        </w:rPr>
        <w:t xml:space="preserve"> da el visto bueno al comercio Holanda</w:t>
      </w:r>
      <w:r w:rsidRPr="0023478B">
        <w:rPr>
          <w:b/>
        </w:rPr>
        <w:t>-Noruega</w:t>
      </w:r>
      <w:r>
        <w:t xml:space="preserve">. Esta decisión permitirá la integración de los mercados intradiarios noruegos y holandeses a través del cable submarino </w:t>
      </w:r>
      <w:proofErr w:type="spellStart"/>
      <w:r>
        <w:t>NordNed</w:t>
      </w:r>
      <w:proofErr w:type="spellEnd"/>
      <w:r>
        <w:t xml:space="preserve"> en el primer trimestre de 2012. (EUE 09.09)</w:t>
      </w:r>
    </w:p>
    <w:p w:rsidR="000322F5" w:rsidRDefault="000322F5" w:rsidP="005A3112">
      <w:pPr>
        <w:numPr>
          <w:ilvl w:val="0"/>
          <w:numId w:val="4"/>
        </w:numPr>
        <w:spacing w:before="100" w:beforeAutospacing="1" w:line="276" w:lineRule="auto"/>
        <w:ind w:left="284" w:hanging="284"/>
      </w:pPr>
      <w:r>
        <w:rPr>
          <w:b/>
        </w:rPr>
        <w:t>La UE estudia recortar fondos a los países que no armonicen sus mercados energéticos con la normativa del ‘</w:t>
      </w:r>
      <w:proofErr w:type="spellStart"/>
      <w:r>
        <w:rPr>
          <w:b/>
        </w:rPr>
        <w:t>Energy</w:t>
      </w:r>
      <w:proofErr w:type="spellEnd"/>
      <w:r>
        <w:rPr>
          <w:b/>
        </w:rPr>
        <w:t xml:space="preserve"> </w:t>
      </w:r>
      <w:proofErr w:type="spellStart"/>
      <w:r>
        <w:rPr>
          <w:b/>
        </w:rPr>
        <w:t>Community</w:t>
      </w:r>
      <w:proofErr w:type="spellEnd"/>
      <w:r>
        <w:rPr>
          <w:b/>
        </w:rPr>
        <w:t xml:space="preserve">’. </w:t>
      </w:r>
      <w:r w:rsidRPr="00884BB6">
        <w:t xml:space="preserve">Éste está basado en un tratado entre la UE y países vecinos (Albania, Bosnia y Herzegovina, Croacia, Kosovo, FYROM, </w:t>
      </w:r>
      <w:proofErr w:type="spellStart"/>
      <w:r w:rsidRPr="00884BB6">
        <w:t>Moldova</w:t>
      </w:r>
      <w:proofErr w:type="spellEnd"/>
      <w:r w:rsidRPr="00884BB6">
        <w:t xml:space="preserve">, Montenegro, Serbia y Ucrania) firmado en 2006. </w:t>
      </w:r>
      <w:r>
        <w:t>(EUE 23.09)</w:t>
      </w:r>
    </w:p>
    <w:p w:rsidR="000322F5" w:rsidRDefault="000322F5" w:rsidP="005A3112">
      <w:pPr>
        <w:numPr>
          <w:ilvl w:val="0"/>
          <w:numId w:val="4"/>
        </w:numPr>
        <w:spacing w:before="100" w:beforeAutospacing="1" w:line="276" w:lineRule="auto"/>
        <w:ind w:left="284" w:hanging="284"/>
      </w:pPr>
      <w:r w:rsidRPr="00E434B6">
        <w:rPr>
          <w:b/>
        </w:rPr>
        <w:t>EPEX Spot, introduc</w:t>
      </w:r>
      <w:r>
        <w:rPr>
          <w:b/>
        </w:rPr>
        <w:t>irá</w:t>
      </w:r>
      <w:r w:rsidRPr="00E434B6">
        <w:rPr>
          <w:b/>
        </w:rPr>
        <w:t xml:space="preserve"> el trading de 15 minutos para renovables</w:t>
      </w:r>
      <w:r>
        <w:t>: EPEX, que opera el mercado spot en Francia, Alemania, Austria y Suiza quiere introducir el trading de 15 minutos en el Mercado Intradiario Alemán a finales de año, lo que mejorará la integración de las renovables. (RER 17.10)</w:t>
      </w:r>
    </w:p>
    <w:p w:rsidR="000322F5" w:rsidRDefault="000322F5" w:rsidP="005A3112">
      <w:pPr>
        <w:numPr>
          <w:ilvl w:val="0"/>
          <w:numId w:val="4"/>
        </w:numPr>
        <w:spacing w:before="100" w:beforeAutospacing="1" w:line="276" w:lineRule="auto"/>
        <w:ind w:left="284" w:hanging="284"/>
      </w:pPr>
      <w:r>
        <w:rPr>
          <w:b/>
        </w:rPr>
        <w:t xml:space="preserve">La autoridad alemana de competencia BNA ha establecido nuevas normas para la adquisición de reserva terciaria por los operadores de red. </w:t>
      </w:r>
      <w:r w:rsidRPr="00E6309C">
        <w:t>El regulador espera que, reduciendo la capacidad mínima que puede ser  subastada, haya un mayor número de participantes en el mercado terciario, principalmente consumidores industriales y comerciales.</w:t>
      </w:r>
      <w:r>
        <w:t xml:space="preserve"> (PIE 31.10)</w:t>
      </w:r>
    </w:p>
    <w:p w:rsidR="000322F5" w:rsidRDefault="000322F5" w:rsidP="003429D5">
      <w:pPr>
        <w:pStyle w:val="Ttulo3"/>
        <w:rPr>
          <w:lang w:val="es-ES_tradnl"/>
        </w:rPr>
      </w:pPr>
      <w:r>
        <w:rPr>
          <w:lang w:val="es-ES_tradnl"/>
        </w:rPr>
        <w:t>Europa – Tarifas, precios y protección al consumidor</w:t>
      </w:r>
    </w:p>
    <w:p w:rsidR="000322F5" w:rsidRPr="003429D5" w:rsidRDefault="000322F5" w:rsidP="005A3112">
      <w:pPr>
        <w:numPr>
          <w:ilvl w:val="0"/>
          <w:numId w:val="5"/>
        </w:numPr>
        <w:spacing w:before="100" w:beforeAutospacing="1" w:line="276" w:lineRule="auto"/>
        <w:ind w:left="284" w:hanging="284"/>
        <w:rPr>
          <w:rFonts w:asciiTheme="minorHAnsi" w:hAnsiTheme="minorHAnsi"/>
          <w:lang w:val="es-ES_tradnl"/>
        </w:rPr>
      </w:pPr>
      <w:r w:rsidRPr="003429D5">
        <w:rPr>
          <w:rFonts w:asciiTheme="minorHAnsi" w:hAnsiTheme="minorHAnsi"/>
          <w:b/>
          <w:lang w:val="es-ES_tradnl"/>
        </w:rPr>
        <w:t xml:space="preserve">EDF anuncia que subirá las tarifas minoristas en noviembre: </w:t>
      </w:r>
      <w:r w:rsidRPr="003429D5">
        <w:rPr>
          <w:rFonts w:asciiTheme="minorHAnsi" w:hAnsiTheme="minorHAnsi"/>
          <w:lang w:val="es-ES_tradnl"/>
        </w:rPr>
        <w:t xml:space="preserve">EDF es la última de las compañías británicas en subir los precios, un 15,4% en gas y un 4,5% en electricidad. Aún con esta subida seguirá siendo el que ofrezca las tarifas más baratas principalmente debido a su parque nuclear. (UBS, </w:t>
      </w:r>
      <w:proofErr w:type="spellStart"/>
      <w:r w:rsidRPr="003429D5">
        <w:rPr>
          <w:rFonts w:asciiTheme="minorHAnsi" w:hAnsiTheme="minorHAnsi"/>
          <w:lang w:val="es-ES_tradnl"/>
        </w:rPr>
        <w:t>JPMorgan</w:t>
      </w:r>
      <w:proofErr w:type="spellEnd"/>
      <w:r w:rsidRPr="003429D5">
        <w:rPr>
          <w:rFonts w:asciiTheme="minorHAnsi" w:hAnsiTheme="minorHAnsi"/>
          <w:lang w:val="es-ES_tradnl"/>
        </w:rPr>
        <w:t>, 16.09)</w:t>
      </w:r>
    </w:p>
    <w:p w:rsidR="000322F5" w:rsidRPr="003429D5" w:rsidRDefault="000322F5" w:rsidP="005A3112">
      <w:pPr>
        <w:numPr>
          <w:ilvl w:val="0"/>
          <w:numId w:val="5"/>
        </w:numPr>
        <w:tabs>
          <w:tab w:val="clear" w:pos="360"/>
          <w:tab w:val="left" w:pos="357"/>
        </w:tabs>
        <w:spacing w:before="100" w:beforeAutospacing="1" w:line="276" w:lineRule="auto"/>
        <w:ind w:left="284" w:hanging="284"/>
        <w:rPr>
          <w:rFonts w:asciiTheme="minorHAnsi" w:hAnsiTheme="minorHAnsi"/>
          <w:b/>
          <w:lang w:val="es-ES_tradnl"/>
        </w:rPr>
      </w:pPr>
      <w:r w:rsidRPr="003429D5">
        <w:rPr>
          <w:rFonts w:asciiTheme="minorHAnsi" w:hAnsiTheme="minorHAnsi"/>
          <w:b/>
          <w:lang w:val="es-ES_tradnl"/>
        </w:rPr>
        <w:t>ERSE, regulador portugués, avanzó inicialmente que sería necesario incrementar las tarifas finales un 30% en 2012:</w:t>
      </w:r>
      <w:r w:rsidRPr="003429D5">
        <w:rPr>
          <w:rFonts w:asciiTheme="minorHAnsi" w:hAnsiTheme="minorHAnsi"/>
          <w:lang w:val="es-ES_tradnl"/>
        </w:rPr>
        <w:t xml:space="preserve"> el aumento se justificaba por el aumento del IVA a la electricidad (del 6 al 23%), el aumento en los costes ordinarios de generación y el aumento de los costes de renovables y cogeneración. Esto podría afectar negativamente a la demanda de electricidad en el país. (Citigroup, BPI, 16.09)</w:t>
      </w:r>
      <w:r w:rsidRPr="003429D5">
        <w:rPr>
          <w:rFonts w:asciiTheme="minorHAnsi" w:hAnsiTheme="minorHAnsi"/>
          <w:b/>
          <w:lang w:val="es-ES_tradnl"/>
        </w:rPr>
        <w:t>. Finalmente</w:t>
      </w:r>
      <w:r w:rsidR="007F0BDB">
        <w:rPr>
          <w:rFonts w:asciiTheme="minorHAnsi" w:hAnsiTheme="minorHAnsi"/>
          <w:b/>
          <w:lang w:val="es-ES_tradnl"/>
        </w:rPr>
        <w:t>,</w:t>
      </w:r>
      <w:r w:rsidRPr="003429D5">
        <w:rPr>
          <w:rFonts w:asciiTheme="minorHAnsi" w:hAnsiTheme="minorHAnsi"/>
          <w:b/>
          <w:lang w:val="es-ES_tradnl"/>
        </w:rPr>
        <w:t xml:space="preserve"> ha dado a conocer sus propuestas para las tarifas eléctricas del año 2012 y los parámetros para el período regulatorio 2012-2014</w:t>
      </w:r>
      <w:r w:rsidRPr="003429D5">
        <w:rPr>
          <w:rFonts w:asciiTheme="minorHAnsi" w:hAnsiTheme="minorHAnsi"/>
          <w:lang w:val="es-ES_tradnl"/>
        </w:rPr>
        <w:t xml:space="preserve"> y contemplan una subida media de un 4% de las tarifas eléctricas respecto a 2011 gracias a la laminación de diversos apartados de los costes del suministro. (Goldman </w:t>
      </w:r>
      <w:proofErr w:type="spellStart"/>
      <w:r w:rsidRPr="003429D5">
        <w:rPr>
          <w:rFonts w:asciiTheme="minorHAnsi" w:hAnsiTheme="minorHAnsi"/>
          <w:lang w:val="es-ES_tradnl"/>
        </w:rPr>
        <w:t>Sachs</w:t>
      </w:r>
      <w:proofErr w:type="spellEnd"/>
      <w:r w:rsidRPr="003429D5">
        <w:rPr>
          <w:rFonts w:asciiTheme="minorHAnsi" w:hAnsiTheme="minorHAnsi"/>
          <w:lang w:val="es-ES_tradnl"/>
        </w:rPr>
        <w:t>, 21.10)</w:t>
      </w:r>
    </w:p>
    <w:p w:rsidR="000322F5" w:rsidRPr="003429D5" w:rsidRDefault="000322F5" w:rsidP="005A3112">
      <w:pPr>
        <w:numPr>
          <w:ilvl w:val="0"/>
          <w:numId w:val="5"/>
        </w:numPr>
        <w:tabs>
          <w:tab w:val="clear" w:pos="360"/>
          <w:tab w:val="left" w:pos="357"/>
        </w:tabs>
        <w:spacing w:before="100" w:beforeAutospacing="1" w:line="276" w:lineRule="auto"/>
        <w:ind w:left="284" w:hanging="284"/>
        <w:rPr>
          <w:rFonts w:asciiTheme="minorHAnsi" w:hAnsiTheme="minorHAnsi"/>
          <w:b/>
          <w:lang w:val="es-ES_tradnl"/>
        </w:rPr>
      </w:pPr>
      <w:r w:rsidRPr="003429D5">
        <w:rPr>
          <w:rFonts w:asciiTheme="minorHAnsi" w:hAnsiTheme="minorHAnsi"/>
          <w:b/>
        </w:rPr>
        <w:t xml:space="preserve">Francia aprueba la instalación de </w:t>
      </w:r>
      <w:proofErr w:type="spellStart"/>
      <w:r w:rsidRPr="003429D5">
        <w:rPr>
          <w:rFonts w:asciiTheme="minorHAnsi" w:hAnsiTheme="minorHAnsi"/>
          <w:b/>
          <w:i/>
        </w:rPr>
        <w:t>smart</w:t>
      </w:r>
      <w:proofErr w:type="spellEnd"/>
      <w:r w:rsidRPr="003429D5">
        <w:rPr>
          <w:rFonts w:asciiTheme="minorHAnsi" w:hAnsiTheme="minorHAnsi"/>
          <w:b/>
          <w:i/>
        </w:rPr>
        <w:t xml:space="preserve"> </w:t>
      </w:r>
      <w:proofErr w:type="spellStart"/>
      <w:r w:rsidRPr="003429D5">
        <w:rPr>
          <w:rFonts w:asciiTheme="minorHAnsi" w:hAnsiTheme="minorHAnsi"/>
          <w:b/>
          <w:i/>
        </w:rPr>
        <w:t>meters</w:t>
      </w:r>
      <w:proofErr w:type="spellEnd"/>
      <w:r w:rsidRPr="003429D5">
        <w:rPr>
          <w:rFonts w:asciiTheme="minorHAnsi" w:hAnsiTheme="minorHAnsi"/>
          <w:b/>
        </w:rPr>
        <w:t xml:space="preserve"> en 35 millones de hogares</w:t>
      </w:r>
      <w:r w:rsidRPr="003429D5">
        <w:rPr>
          <w:rFonts w:asciiTheme="minorHAnsi" w:hAnsiTheme="minorHAnsi"/>
        </w:rPr>
        <w:t xml:space="preserve">, a </w:t>
      </w:r>
      <w:r w:rsidR="00C95522">
        <w:rPr>
          <w:rFonts w:asciiTheme="minorHAnsi" w:hAnsiTheme="minorHAnsi"/>
        </w:rPr>
        <w:t xml:space="preserve">un coste estimado de 4.300 millones </w:t>
      </w:r>
      <w:r w:rsidRPr="003429D5">
        <w:rPr>
          <w:rFonts w:asciiTheme="minorHAnsi" w:hAnsiTheme="minorHAnsi"/>
        </w:rPr>
        <w:t xml:space="preserve">EUR, según el Ministro de industria Eric </w:t>
      </w:r>
      <w:proofErr w:type="spellStart"/>
      <w:r w:rsidRPr="003429D5">
        <w:rPr>
          <w:rFonts w:asciiTheme="minorHAnsi" w:hAnsiTheme="minorHAnsi"/>
        </w:rPr>
        <w:t>Besson</w:t>
      </w:r>
      <w:proofErr w:type="spellEnd"/>
      <w:r w:rsidRPr="003429D5">
        <w:rPr>
          <w:rFonts w:asciiTheme="minorHAnsi" w:hAnsiTheme="minorHAnsi"/>
        </w:rPr>
        <w:t xml:space="preserve">. </w:t>
      </w:r>
      <w:proofErr w:type="spellStart"/>
      <w:r w:rsidRPr="003429D5">
        <w:rPr>
          <w:rFonts w:asciiTheme="minorHAnsi" w:hAnsiTheme="minorHAnsi"/>
        </w:rPr>
        <w:t>EdF</w:t>
      </w:r>
      <w:proofErr w:type="spellEnd"/>
      <w:r w:rsidRPr="003429D5">
        <w:rPr>
          <w:rFonts w:asciiTheme="minorHAnsi" w:hAnsiTheme="minorHAnsi"/>
        </w:rPr>
        <w:t xml:space="preserve"> </w:t>
      </w:r>
      <w:proofErr w:type="spellStart"/>
      <w:r w:rsidRPr="003429D5">
        <w:rPr>
          <w:rFonts w:asciiTheme="minorHAnsi" w:hAnsiTheme="minorHAnsi"/>
        </w:rPr>
        <w:t>Distribution</w:t>
      </w:r>
      <w:proofErr w:type="spellEnd"/>
      <w:r w:rsidRPr="003429D5">
        <w:rPr>
          <w:rFonts w:asciiTheme="minorHAnsi" w:hAnsiTheme="minorHAnsi"/>
        </w:rPr>
        <w:t xml:space="preserve"> se encargará de su inversión e instalación y sacará a pública subasta el suministro de los equipos. (</w:t>
      </w:r>
      <w:proofErr w:type="spellStart"/>
      <w:r w:rsidRPr="003429D5">
        <w:rPr>
          <w:rFonts w:asciiTheme="minorHAnsi" w:hAnsiTheme="minorHAnsi"/>
        </w:rPr>
        <w:t>Bloomberg</w:t>
      </w:r>
      <w:proofErr w:type="spellEnd"/>
      <w:r w:rsidRPr="003429D5">
        <w:rPr>
          <w:rFonts w:asciiTheme="minorHAnsi" w:hAnsiTheme="minorHAnsi"/>
        </w:rPr>
        <w:t xml:space="preserve"> 04.10).</w:t>
      </w:r>
    </w:p>
    <w:p w:rsidR="000322F5" w:rsidRPr="003429D5" w:rsidRDefault="000322F5" w:rsidP="005A3112">
      <w:pPr>
        <w:numPr>
          <w:ilvl w:val="0"/>
          <w:numId w:val="5"/>
        </w:numPr>
        <w:tabs>
          <w:tab w:val="clear" w:pos="360"/>
          <w:tab w:val="left" w:pos="357"/>
        </w:tabs>
        <w:spacing w:before="100" w:beforeAutospacing="1" w:line="276" w:lineRule="auto"/>
        <w:ind w:left="284" w:hanging="284"/>
        <w:rPr>
          <w:rFonts w:asciiTheme="minorHAnsi" w:hAnsiTheme="minorHAnsi"/>
          <w:lang w:val="es-ES_tradnl"/>
        </w:rPr>
      </w:pPr>
      <w:r w:rsidRPr="003429D5">
        <w:rPr>
          <w:rFonts w:asciiTheme="minorHAnsi" w:hAnsiTheme="minorHAnsi"/>
          <w:b/>
          <w:lang w:val="es-ES_tradnl"/>
        </w:rPr>
        <w:t xml:space="preserve">Francia aprueba una revisión de su tarifa social para aumentar sus beneficiarios: </w:t>
      </w:r>
      <w:r w:rsidRPr="003429D5">
        <w:rPr>
          <w:rFonts w:asciiTheme="minorHAnsi" w:hAnsiTheme="minorHAnsi"/>
          <w:lang w:val="es-ES_tradnl"/>
        </w:rPr>
        <w:t>actualmente sólo 600.000 de los 1,5-2 millones de consumidores elegibles disfrutan de tarifas especiales de electricidad y gas. Con el nuevo mecanismo, se usarán los datos de la CMU (Seguridad social francesa) de modo que se les aplicarán las tarifas especiales automáticamente a partir de enero de 2012.</w:t>
      </w:r>
      <w:r w:rsidR="008D2E18">
        <w:rPr>
          <w:rFonts w:asciiTheme="minorHAnsi" w:hAnsiTheme="minorHAnsi"/>
          <w:lang w:val="es-ES_tradnl"/>
        </w:rPr>
        <w:t xml:space="preserve"> </w:t>
      </w:r>
      <w:r w:rsidRPr="003429D5">
        <w:rPr>
          <w:rFonts w:asciiTheme="minorHAnsi" w:hAnsiTheme="minorHAnsi"/>
          <w:lang w:val="es-ES_tradnl"/>
        </w:rPr>
        <w:t>(EUE 21.10)</w:t>
      </w:r>
    </w:p>
    <w:p w:rsidR="000322F5" w:rsidRPr="003429D5" w:rsidRDefault="000322F5" w:rsidP="005A3112">
      <w:pPr>
        <w:numPr>
          <w:ilvl w:val="0"/>
          <w:numId w:val="5"/>
        </w:numPr>
        <w:tabs>
          <w:tab w:val="clear" w:pos="360"/>
          <w:tab w:val="left" w:pos="357"/>
        </w:tabs>
        <w:spacing w:before="100" w:beforeAutospacing="1" w:line="276" w:lineRule="auto"/>
        <w:ind w:left="284" w:hanging="284"/>
        <w:rPr>
          <w:rFonts w:asciiTheme="minorHAnsi" w:hAnsiTheme="minorHAnsi"/>
          <w:b/>
          <w:lang w:val="es-ES_tradnl"/>
        </w:rPr>
      </w:pPr>
      <w:r w:rsidRPr="003429D5">
        <w:rPr>
          <w:rFonts w:asciiTheme="minorHAnsi" w:hAnsiTheme="minorHAnsi"/>
          <w:b/>
        </w:rPr>
        <w:t xml:space="preserve">Los precios mayoristas de energía en Polonia se duplicarán para 2030 </w:t>
      </w:r>
      <w:r w:rsidRPr="003429D5">
        <w:rPr>
          <w:rFonts w:asciiTheme="minorHAnsi" w:hAnsiTheme="minorHAnsi"/>
        </w:rPr>
        <w:t>y será debido al alto porcentaje que suponen los costes de derechos de CO</w:t>
      </w:r>
      <w:r w:rsidRPr="003429D5">
        <w:rPr>
          <w:rFonts w:asciiTheme="minorHAnsi" w:hAnsiTheme="minorHAnsi"/>
          <w:vertAlign w:val="subscript"/>
        </w:rPr>
        <w:t>2</w:t>
      </w:r>
      <w:r w:rsidRPr="003429D5">
        <w:rPr>
          <w:rFonts w:asciiTheme="minorHAnsi" w:hAnsiTheme="minorHAnsi"/>
        </w:rPr>
        <w:t xml:space="preserve"> en los costes de generación. Otro factor será el aumento de la demanda, aunque con la introducción de nuclear se espera que los precios se estabilicen para 2022. (EUE 07.10)</w:t>
      </w:r>
    </w:p>
    <w:p w:rsidR="000322F5" w:rsidRPr="003429D5" w:rsidRDefault="000322F5" w:rsidP="005A3112">
      <w:pPr>
        <w:numPr>
          <w:ilvl w:val="0"/>
          <w:numId w:val="5"/>
        </w:numPr>
        <w:tabs>
          <w:tab w:val="clear" w:pos="360"/>
          <w:tab w:val="left" w:pos="357"/>
        </w:tabs>
        <w:spacing w:before="100" w:beforeAutospacing="1" w:line="276" w:lineRule="auto"/>
        <w:ind w:left="284" w:hanging="284"/>
        <w:rPr>
          <w:rFonts w:asciiTheme="minorHAnsi" w:hAnsiTheme="minorHAnsi"/>
          <w:lang w:val="es-ES_tradnl"/>
        </w:rPr>
      </w:pPr>
      <w:r w:rsidRPr="003429D5">
        <w:rPr>
          <w:rFonts w:asciiTheme="minorHAnsi" w:hAnsiTheme="minorHAnsi"/>
          <w:b/>
        </w:rPr>
        <w:t xml:space="preserve">Los precios en Suiza se reducirán en un 2% en 2012, debido fundamentalmente a los menores precios de las redes. </w:t>
      </w:r>
      <w:r w:rsidRPr="003429D5">
        <w:rPr>
          <w:rFonts w:asciiTheme="minorHAnsi" w:hAnsiTheme="minorHAnsi"/>
        </w:rPr>
        <w:t>Los hogares reducirán un 2% su factura y los pequeños negocios un 1%, pese a que se espera un aumento del 1% en los costes del componente energía. (EUE 07.10)</w:t>
      </w:r>
    </w:p>
    <w:p w:rsidR="000322F5" w:rsidRPr="003429D5" w:rsidRDefault="000322F5" w:rsidP="005A3112">
      <w:pPr>
        <w:numPr>
          <w:ilvl w:val="0"/>
          <w:numId w:val="5"/>
        </w:numPr>
        <w:tabs>
          <w:tab w:val="clear" w:pos="360"/>
          <w:tab w:val="left" w:pos="357"/>
        </w:tabs>
        <w:spacing w:before="100" w:beforeAutospacing="1" w:line="276" w:lineRule="auto"/>
        <w:ind w:left="284" w:hanging="284"/>
        <w:rPr>
          <w:rFonts w:asciiTheme="minorHAnsi" w:hAnsiTheme="minorHAnsi"/>
          <w:b/>
          <w:lang w:val="es-ES_tradnl"/>
        </w:rPr>
      </w:pPr>
      <w:r w:rsidRPr="003429D5">
        <w:rPr>
          <w:rFonts w:asciiTheme="minorHAnsi" w:hAnsiTheme="minorHAnsi"/>
          <w:b/>
          <w:lang w:val="es-ES_tradnl"/>
        </w:rPr>
        <w:t xml:space="preserve">Según un </w:t>
      </w:r>
      <w:hyperlink r:id="rId8" w:history="1">
        <w:r w:rsidRPr="003429D5">
          <w:rPr>
            <w:rStyle w:val="Hipervnculo"/>
            <w:rFonts w:asciiTheme="minorHAnsi" w:hAnsiTheme="minorHAnsi"/>
            <w:b/>
            <w:lang w:val="es-ES_tradnl"/>
          </w:rPr>
          <w:t>estudio</w:t>
        </w:r>
      </w:hyperlink>
      <w:r w:rsidRPr="003429D5">
        <w:rPr>
          <w:rFonts w:asciiTheme="minorHAnsi" w:hAnsiTheme="minorHAnsi"/>
          <w:b/>
          <w:lang w:val="es-ES_tradnl"/>
        </w:rPr>
        <w:t xml:space="preserve"> del regulador belga CREG, el cierre alemán de las nucleares aumentará los precios spot belgas en 2022 entre 5-15 EUR/</w:t>
      </w:r>
      <w:proofErr w:type="spellStart"/>
      <w:r w:rsidRPr="003429D5">
        <w:rPr>
          <w:rFonts w:asciiTheme="minorHAnsi" w:hAnsiTheme="minorHAnsi"/>
          <w:b/>
          <w:lang w:val="es-ES_tradnl"/>
        </w:rPr>
        <w:t>MWh.</w:t>
      </w:r>
      <w:proofErr w:type="spellEnd"/>
      <w:r w:rsidRPr="003429D5">
        <w:rPr>
          <w:rFonts w:asciiTheme="minorHAnsi" w:hAnsiTheme="minorHAnsi"/>
          <w:b/>
          <w:lang w:val="es-ES_tradnl"/>
        </w:rPr>
        <w:t xml:space="preserve"> </w:t>
      </w:r>
      <w:r w:rsidRPr="003429D5">
        <w:rPr>
          <w:rFonts w:asciiTheme="minorHAnsi" w:hAnsiTheme="minorHAnsi"/>
          <w:lang w:val="es-ES_tradnl"/>
        </w:rPr>
        <w:t xml:space="preserve">El estudio tiene en cuenta el cambio en la </w:t>
      </w:r>
      <w:proofErr w:type="spellStart"/>
      <w:r w:rsidRPr="003429D5">
        <w:rPr>
          <w:rFonts w:asciiTheme="minorHAnsi" w:hAnsiTheme="minorHAnsi"/>
          <w:i/>
          <w:lang w:val="es-ES_tradnl"/>
        </w:rPr>
        <w:t>merit</w:t>
      </w:r>
      <w:proofErr w:type="spellEnd"/>
      <w:r w:rsidRPr="003429D5">
        <w:rPr>
          <w:rFonts w:asciiTheme="minorHAnsi" w:hAnsiTheme="minorHAnsi"/>
          <w:i/>
          <w:lang w:val="es-ES_tradnl"/>
        </w:rPr>
        <w:t xml:space="preserve"> </w:t>
      </w:r>
      <w:proofErr w:type="spellStart"/>
      <w:r w:rsidRPr="003429D5">
        <w:rPr>
          <w:rFonts w:asciiTheme="minorHAnsi" w:hAnsiTheme="minorHAnsi"/>
          <w:i/>
          <w:lang w:val="es-ES_tradnl"/>
        </w:rPr>
        <w:t>order</w:t>
      </w:r>
      <w:proofErr w:type="spellEnd"/>
      <w:r w:rsidRPr="003429D5">
        <w:rPr>
          <w:rFonts w:asciiTheme="minorHAnsi" w:hAnsiTheme="minorHAnsi"/>
          <w:i/>
          <w:lang w:val="es-ES_tradnl"/>
        </w:rPr>
        <w:t xml:space="preserve"> </w:t>
      </w:r>
      <w:r w:rsidRPr="003429D5">
        <w:rPr>
          <w:rFonts w:asciiTheme="minorHAnsi" w:hAnsiTheme="minorHAnsi"/>
          <w:lang w:val="es-ES_tradnl"/>
        </w:rPr>
        <w:t>en Alemania, donde las renovables sustituirán a la nuclear en la base para 2022. En sus hipótesis usa un precio nominal de CO</w:t>
      </w:r>
      <w:r w:rsidRPr="003429D5">
        <w:rPr>
          <w:rFonts w:asciiTheme="minorHAnsi" w:hAnsiTheme="minorHAnsi"/>
          <w:vertAlign w:val="subscript"/>
          <w:lang w:val="es-ES_tradnl"/>
        </w:rPr>
        <w:t>2</w:t>
      </w:r>
      <w:r w:rsidRPr="003429D5">
        <w:rPr>
          <w:rFonts w:asciiTheme="minorHAnsi" w:hAnsiTheme="minorHAnsi"/>
          <w:lang w:val="es-ES_tradnl"/>
        </w:rPr>
        <w:t xml:space="preserve"> más alto para 2022 pero no tiene en cuenta la evolución de los precios de gas y carbón. (PIE 17.10)</w:t>
      </w:r>
      <w:r w:rsidR="008D2E18">
        <w:rPr>
          <w:rFonts w:asciiTheme="minorHAnsi" w:hAnsiTheme="minorHAnsi"/>
          <w:lang w:val="es-ES_tradnl"/>
        </w:rPr>
        <w:t xml:space="preserve"> y </w:t>
      </w:r>
      <w:r w:rsidRPr="003429D5">
        <w:rPr>
          <w:rFonts w:asciiTheme="minorHAnsi" w:hAnsiTheme="minorHAnsi"/>
          <w:lang w:val="es-ES_tradnl"/>
        </w:rPr>
        <w:t>(EUE 21.10)</w:t>
      </w:r>
    </w:p>
    <w:p w:rsidR="000322F5" w:rsidRPr="003429D5" w:rsidRDefault="000322F5" w:rsidP="005A3112">
      <w:pPr>
        <w:numPr>
          <w:ilvl w:val="0"/>
          <w:numId w:val="5"/>
        </w:numPr>
        <w:tabs>
          <w:tab w:val="clear" w:pos="360"/>
          <w:tab w:val="left" w:pos="357"/>
        </w:tabs>
        <w:spacing w:before="100" w:beforeAutospacing="1" w:line="276" w:lineRule="auto"/>
        <w:ind w:left="284" w:hanging="284"/>
        <w:rPr>
          <w:rFonts w:asciiTheme="minorHAnsi" w:hAnsiTheme="minorHAnsi"/>
        </w:rPr>
      </w:pPr>
      <w:r w:rsidRPr="003429D5">
        <w:rPr>
          <w:rFonts w:asciiTheme="minorHAnsi" w:hAnsiTheme="minorHAnsi"/>
          <w:b/>
          <w:lang w:val="es-ES_tradnl"/>
        </w:rPr>
        <w:t>La empresa holandesa Dutc</w:t>
      </w:r>
      <w:r w:rsidR="00C95522">
        <w:rPr>
          <w:rFonts w:asciiTheme="minorHAnsi" w:hAnsiTheme="minorHAnsi"/>
          <w:b/>
          <w:lang w:val="es-ES_tradnl"/>
        </w:rPr>
        <w:t xml:space="preserve">h </w:t>
      </w:r>
      <w:proofErr w:type="spellStart"/>
      <w:r w:rsidR="00C95522">
        <w:rPr>
          <w:rFonts w:asciiTheme="minorHAnsi" w:hAnsiTheme="minorHAnsi"/>
          <w:b/>
          <w:lang w:val="es-ES_tradnl"/>
        </w:rPr>
        <w:t>Gasunie</w:t>
      </w:r>
      <w:proofErr w:type="spellEnd"/>
      <w:r w:rsidR="00C95522">
        <w:rPr>
          <w:rFonts w:asciiTheme="minorHAnsi" w:hAnsiTheme="minorHAnsi"/>
          <w:b/>
          <w:lang w:val="es-ES_tradnl"/>
        </w:rPr>
        <w:t>, deberá devolver 400 m</w:t>
      </w:r>
      <w:r w:rsidRPr="003429D5">
        <w:rPr>
          <w:rFonts w:asciiTheme="minorHAnsi" w:hAnsiTheme="minorHAnsi"/>
          <w:b/>
          <w:lang w:val="es-ES_tradnl"/>
        </w:rPr>
        <w:t xml:space="preserve">illones EUR a sus clientes, </w:t>
      </w:r>
      <w:r w:rsidRPr="003429D5">
        <w:rPr>
          <w:rFonts w:asciiTheme="minorHAnsi" w:hAnsiTheme="minorHAnsi"/>
          <w:lang w:val="es-ES_tradnl"/>
        </w:rPr>
        <w:t xml:space="preserve">tras la decisión de la autoridad de competencia </w:t>
      </w:r>
      <w:proofErr w:type="spellStart"/>
      <w:r w:rsidRPr="003429D5">
        <w:rPr>
          <w:rFonts w:asciiTheme="minorHAnsi" w:hAnsiTheme="minorHAnsi"/>
          <w:lang w:val="es-ES_tradnl"/>
        </w:rPr>
        <w:t>NMa</w:t>
      </w:r>
      <w:proofErr w:type="spellEnd"/>
      <w:r w:rsidRPr="003429D5">
        <w:rPr>
          <w:rFonts w:asciiTheme="minorHAnsi" w:hAnsiTheme="minorHAnsi"/>
          <w:lang w:val="es-ES_tradnl"/>
        </w:rPr>
        <w:t>, que ha decidido que la transportista deberá devolver esa cantidad a sus clientes mediante una reducción en las tarifas entre 2012 y 2013. (EUE 21.10)</w:t>
      </w:r>
    </w:p>
    <w:p w:rsidR="000322F5" w:rsidRPr="005B4DC9" w:rsidRDefault="000322F5" w:rsidP="003429D5">
      <w:pPr>
        <w:pStyle w:val="Ttulo3"/>
        <w:rPr>
          <w:lang w:val="es-ES_tradnl"/>
        </w:rPr>
      </w:pPr>
      <w:proofErr w:type="spellStart"/>
      <w:r w:rsidRPr="005B4DC9">
        <w:rPr>
          <w:lang w:val="en-US"/>
        </w:rPr>
        <w:t>Europa</w:t>
      </w:r>
      <w:proofErr w:type="spellEnd"/>
      <w:r w:rsidRPr="005B4DC9">
        <w:rPr>
          <w:lang w:val="en-US"/>
        </w:rPr>
        <w:t xml:space="preserve"> –</w:t>
      </w:r>
      <w:proofErr w:type="spellStart"/>
      <w:r w:rsidRPr="005B4DC9">
        <w:rPr>
          <w:lang w:val="en-US"/>
        </w:rPr>
        <w:t>Redes</w:t>
      </w:r>
      <w:proofErr w:type="spellEnd"/>
      <w:r w:rsidRPr="005B4DC9">
        <w:rPr>
          <w:lang w:val="en-US"/>
        </w:rPr>
        <w:t xml:space="preserve"> e </w:t>
      </w:r>
      <w:proofErr w:type="spellStart"/>
      <w:r w:rsidRPr="005B4DC9">
        <w:rPr>
          <w:lang w:val="en-US"/>
        </w:rPr>
        <w:t>i</w:t>
      </w:r>
      <w:r w:rsidRPr="005B4DC9">
        <w:rPr>
          <w:lang w:val="es-ES_tradnl"/>
        </w:rPr>
        <w:t>nfraestructuras</w:t>
      </w:r>
      <w:proofErr w:type="spellEnd"/>
    </w:p>
    <w:p w:rsidR="000322F5" w:rsidRPr="003429D5" w:rsidRDefault="000322F5" w:rsidP="005A3112">
      <w:pPr>
        <w:numPr>
          <w:ilvl w:val="0"/>
          <w:numId w:val="6"/>
        </w:numPr>
        <w:autoSpaceDE w:val="0"/>
        <w:autoSpaceDN w:val="0"/>
        <w:spacing w:before="100" w:beforeAutospacing="1" w:line="276" w:lineRule="auto"/>
        <w:ind w:left="284" w:hanging="284"/>
        <w:rPr>
          <w:rFonts w:asciiTheme="minorHAnsi" w:hAnsiTheme="minorHAnsi"/>
        </w:rPr>
      </w:pPr>
      <w:r w:rsidRPr="003429D5">
        <w:rPr>
          <w:rFonts w:asciiTheme="minorHAnsi" w:hAnsiTheme="minorHAnsi"/>
          <w:b/>
          <w:lang w:val="es-ES_tradnl"/>
        </w:rPr>
        <w:t xml:space="preserve">El operador de red francés RTE y el de Suiza, </w:t>
      </w:r>
      <w:proofErr w:type="spellStart"/>
      <w:r w:rsidRPr="003429D5">
        <w:rPr>
          <w:rFonts w:asciiTheme="minorHAnsi" w:hAnsiTheme="minorHAnsi"/>
          <w:b/>
          <w:lang w:val="es-ES_tradnl"/>
        </w:rPr>
        <w:t>Swissgrid</w:t>
      </w:r>
      <w:proofErr w:type="spellEnd"/>
      <w:r w:rsidRPr="003429D5">
        <w:rPr>
          <w:rFonts w:asciiTheme="minorHAnsi" w:hAnsiTheme="minorHAnsi"/>
          <w:b/>
          <w:lang w:val="es-ES_tradnl"/>
        </w:rPr>
        <w:t xml:space="preserve"> introducirán las subastas explícitas de capacidad entre ambos países en enero de 2012. </w:t>
      </w:r>
      <w:r w:rsidRPr="003429D5">
        <w:rPr>
          <w:rFonts w:asciiTheme="minorHAnsi" w:hAnsiTheme="minorHAnsi"/>
          <w:lang w:val="es-ES_tradnl"/>
        </w:rPr>
        <w:t xml:space="preserve">Las subastas explicitas serán para contratos </w:t>
      </w:r>
      <w:proofErr w:type="spellStart"/>
      <w:r w:rsidRPr="003429D5">
        <w:rPr>
          <w:rFonts w:asciiTheme="minorHAnsi" w:hAnsiTheme="minorHAnsi"/>
          <w:i/>
          <w:lang w:val="es-ES_tradnl"/>
        </w:rPr>
        <w:t>day</w:t>
      </w:r>
      <w:proofErr w:type="spellEnd"/>
      <w:r w:rsidRPr="003429D5">
        <w:rPr>
          <w:rFonts w:asciiTheme="minorHAnsi" w:hAnsiTheme="minorHAnsi"/>
          <w:i/>
          <w:lang w:val="es-ES_tradnl"/>
        </w:rPr>
        <w:t xml:space="preserve">- </w:t>
      </w:r>
      <w:proofErr w:type="spellStart"/>
      <w:r w:rsidRPr="003429D5">
        <w:rPr>
          <w:rFonts w:asciiTheme="minorHAnsi" w:hAnsiTheme="minorHAnsi"/>
          <w:i/>
          <w:lang w:val="es-ES_tradnl"/>
        </w:rPr>
        <w:t>ahead</w:t>
      </w:r>
      <w:proofErr w:type="spellEnd"/>
      <w:r w:rsidRPr="003429D5">
        <w:rPr>
          <w:rFonts w:asciiTheme="minorHAnsi" w:hAnsiTheme="minorHAnsi"/>
          <w:lang w:val="es-ES_tradnl"/>
        </w:rPr>
        <w:t>, mensuales y anuales y serán operadas por el servicio de gestión de capacidad CASC. En la actualidad no existe un sistema de asignación de capacidad basado en criterios de mercado entre ambos países. (EUE 23.09)</w:t>
      </w:r>
      <w:r w:rsidRPr="003429D5">
        <w:rPr>
          <w:rFonts w:asciiTheme="minorHAnsi" w:hAnsiTheme="minorHAnsi"/>
        </w:rPr>
        <w:t>.</w:t>
      </w:r>
      <w:r w:rsidRPr="003429D5">
        <w:rPr>
          <w:rFonts w:asciiTheme="minorHAnsi" w:hAnsiTheme="minorHAnsi"/>
          <w:b/>
        </w:rPr>
        <w:t xml:space="preserve"> </w:t>
      </w:r>
    </w:p>
    <w:p w:rsidR="000322F5" w:rsidRPr="003429D5" w:rsidRDefault="000322F5" w:rsidP="005A3112">
      <w:pPr>
        <w:numPr>
          <w:ilvl w:val="0"/>
          <w:numId w:val="6"/>
        </w:numPr>
        <w:autoSpaceDE w:val="0"/>
        <w:autoSpaceDN w:val="0"/>
        <w:spacing w:before="100" w:beforeAutospacing="1" w:line="276" w:lineRule="auto"/>
        <w:ind w:left="284" w:hanging="284"/>
        <w:rPr>
          <w:rFonts w:asciiTheme="minorHAnsi" w:hAnsiTheme="minorHAnsi"/>
        </w:rPr>
      </w:pPr>
      <w:proofErr w:type="spellStart"/>
      <w:r w:rsidRPr="003429D5">
        <w:rPr>
          <w:rFonts w:asciiTheme="minorHAnsi" w:hAnsiTheme="minorHAnsi"/>
          <w:b/>
          <w:lang w:val="es-ES_tradnl"/>
        </w:rPr>
        <w:t>Entso</w:t>
      </w:r>
      <w:proofErr w:type="spellEnd"/>
      <w:r w:rsidRPr="003429D5">
        <w:rPr>
          <w:rFonts w:asciiTheme="minorHAnsi" w:hAnsiTheme="minorHAnsi"/>
          <w:b/>
          <w:lang w:val="es-ES_tradnl"/>
        </w:rPr>
        <w:t>-</w:t>
      </w:r>
      <w:r w:rsidRPr="003429D5">
        <w:rPr>
          <w:rFonts w:asciiTheme="minorHAnsi" w:hAnsiTheme="minorHAnsi"/>
          <w:b/>
        </w:rPr>
        <w:t>E alarga las pruebas de sincronización con Turquía hasta otoño de 2012.</w:t>
      </w:r>
      <w:r w:rsidRPr="003429D5">
        <w:rPr>
          <w:rFonts w:asciiTheme="minorHAnsi" w:hAnsiTheme="minorHAnsi"/>
        </w:rPr>
        <w:t xml:space="preserve"> Estaba previsto terminar esta fase de prueba en setiembre de 2011. Esta tercera fase permite los intercambios limitados de electricidad con Grecia y Bulgaria a través de la red de 400</w:t>
      </w:r>
      <w:r w:rsidR="003F43B0">
        <w:rPr>
          <w:rFonts w:asciiTheme="minorHAnsi" w:hAnsiTheme="minorHAnsi"/>
        </w:rPr>
        <w:t xml:space="preserve"> </w:t>
      </w:r>
      <w:proofErr w:type="spellStart"/>
      <w:r w:rsidRPr="003429D5">
        <w:rPr>
          <w:rFonts w:asciiTheme="minorHAnsi" w:hAnsiTheme="minorHAnsi"/>
        </w:rPr>
        <w:t>kV</w:t>
      </w:r>
      <w:proofErr w:type="spellEnd"/>
      <w:r w:rsidRPr="003429D5">
        <w:rPr>
          <w:rFonts w:asciiTheme="minorHAnsi" w:hAnsiTheme="minorHAnsi"/>
        </w:rPr>
        <w:t>. (EUE 23.09).</w:t>
      </w:r>
    </w:p>
    <w:p w:rsidR="000322F5" w:rsidRPr="003429D5" w:rsidRDefault="000322F5" w:rsidP="005A3112">
      <w:pPr>
        <w:numPr>
          <w:ilvl w:val="0"/>
          <w:numId w:val="6"/>
        </w:numPr>
        <w:autoSpaceDE w:val="0"/>
        <w:autoSpaceDN w:val="0"/>
        <w:spacing w:before="100" w:beforeAutospacing="1" w:line="276" w:lineRule="auto"/>
        <w:ind w:left="284" w:hanging="284"/>
        <w:rPr>
          <w:rFonts w:asciiTheme="minorHAnsi" w:hAnsiTheme="minorHAnsi"/>
        </w:rPr>
      </w:pPr>
      <w:r w:rsidRPr="003429D5">
        <w:rPr>
          <w:rFonts w:asciiTheme="minorHAnsi" w:hAnsiTheme="minorHAnsi"/>
          <w:b/>
          <w:lang w:val="es-ES_tradnl"/>
        </w:rPr>
        <w:t>El gasoducto TAP (</w:t>
      </w:r>
      <w:proofErr w:type="spellStart"/>
      <w:r w:rsidRPr="003429D5">
        <w:rPr>
          <w:rFonts w:asciiTheme="minorHAnsi" w:hAnsiTheme="minorHAnsi"/>
          <w:b/>
          <w:lang w:val="es-ES_tradnl"/>
        </w:rPr>
        <w:t>Trans</w:t>
      </w:r>
      <w:proofErr w:type="spellEnd"/>
      <w:r w:rsidRPr="003429D5">
        <w:rPr>
          <w:rFonts w:asciiTheme="minorHAnsi" w:hAnsiTheme="minorHAnsi"/>
          <w:b/>
          <w:lang w:val="es-ES_tradnl"/>
        </w:rPr>
        <w:t xml:space="preserve"> </w:t>
      </w:r>
      <w:proofErr w:type="spellStart"/>
      <w:r w:rsidRPr="003429D5">
        <w:rPr>
          <w:rFonts w:asciiTheme="minorHAnsi" w:hAnsiTheme="minorHAnsi"/>
          <w:b/>
          <w:lang w:val="es-ES_tradnl"/>
        </w:rPr>
        <w:t>Adriatic</w:t>
      </w:r>
      <w:proofErr w:type="spellEnd"/>
      <w:r w:rsidRPr="003429D5">
        <w:rPr>
          <w:rFonts w:asciiTheme="minorHAnsi" w:hAnsiTheme="minorHAnsi"/>
          <w:b/>
          <w:lang w:val="es-ES_tradnl"/>
        </w:rPr>
        <w:t xml:space="preserve"> Pipeline) </w:t>
      </w:r>
      <w:proofErr w:type="spellStart"/>
      <w:r w:rsidRPr="003429D5">
        <w:rPr>
          <w:rFonts w:asciiTheme="minorHAnsi" w:hAnsiTheme="minorHAnsi"/>
          <w:b/>
          <w:lang w:val="es-ES_tradnl"/>
        </w:rPr>
        <w:t>Caspian</w:t>
      </w:r>
      <w:proofErr w:type="spellEnd"/>
      <w:r w:rsidRPr="003429D5">
        <w:rPr>
          <w:rFonts w:asciiTheme="minorHAnsi" w:hAnsiTheme="minorHAnsi"/>
          <w:b/>
          <w:lang w:val="es-ES_tradnl"/>
        </w:rPr>
        <w:t xml:space="preserve"> somete a autorización del Ministerio italiano de Desarrollo Económico el Proyecto </w:t>
      </w:r>
      <w:r w:rsidRPr="003429D5">
        <w:rPr>
          <w:rFonts w:asciiTheme="minorHAnsi" w:hAnsiTheme="minorHAnsi"/>
          <w:lang w:val="es-ES_tradnl"/>
        </w:rPr>
        <w:t xml:space="preserve">que transportará gas (10 </w:t>
      </w:r>
      <w:proofErr w:type="spellStart"/>
      <w:r w:rsidRPr="003429D5">
        <w:rPr>
          <w:rFonts w:asciiTheme="minorHAnsi" w:hAnsiTheme="minorHAnsi"/>
          <w:lang w:val="es-ES_tradnl"/>
        </w:rPr>
        <w:t>bcm</w:t>
      </w:r>
      <w:proofErr w:type="spellEnd"/>
      <w:r w:rsidRPr="003429D5">
        <w:rPr>
          <w:rFonts w:asciiTheme="minorHAnsi" w:hAnsiTheme="minorHAnsi"/>
          <w:lang w:val="es-ES_tradnl"/>
        </w:rPr>
        <w:t xml:space="preserve">/año) desde la región del Caspio vía Albania y a través del mar Adriático al sur de Italia. El proyecto es una </w:t>
      </w:r>
      <w:proofErr w:type="spellStart"/>
      <w:r w:rsidRPr="003429D5">
        <w:rPr>
          <w:rFonts w:asciiTheme="minorHAnsi" w:hAnsiTheme="minorHAnsi"/>
          <w:lang w:val="es-ES_tradnl"/>
        </w:rPr>
        <w:t>joint</w:t>
      </w:r>
      <w:proofErr w:type="spellEnd"/>
      <w:r w:rsidRPr="003429D5">
        <w:rPr>
          <w:rFonts w:asciiTheme="minorHAnsi" w:hAnsiTheme="minorHAnsi"/>
          <w:lang w:val="es-ES_tradnl"/>
        </w:rPr>
        <w:t xml:space="preserve"> </w:t>
      </w:r>
      <w:proofErr w:type="spellStart"/>
      <w:r w:rsidRPr="003429D5">
        <w:rPr>
          <w:rFonts w:asciiTheme="minorHAnsi" w:hAnsiTheme="minorHAnsi"/>
          <w:lang w:val="es-ES_tradnl"/>
        </w:rPr>
        <w:t>venture</w:t>
      </w:r>
      <w:proofErr w:type="spellEnd"/>
      <w:r w:rsidRPr="003429D5">
        <w:rPr>
          <w:rFonts w:asciiTheme="minorHAnsi" w:hAnsiTheme="minorHAnsi"/>
          <w:lang w:val="es-ES_tradnl"/>
        </w:rPr>
        <w:t xml:space="preserve"> entre la suiza EGL (42,5%), la noruega </w:t>
      </w:r>
      <w:proofErr w:type="spellStart"/>
      <w:r w:rsidRPr="003429D5">
        <w:rPr>
          <w:rFonts w:asciiTheme="minorHAnsi" w:hAnsiTheme="minorHAnsi"/>
          <w:lang w:val="es-ES_tradnl"/>
        </w:rPr>
        <w:t>Statoil</w:t>
      </w:r>
      <w:proofErr w:type="spellEnd"/>
      <w:r w:rsidRPr="003429D5">
        <w:rPr>
          <w:rFonts w:asciiTheme="minorHAnsi" w:hAnsiTheme="minorHAnsi"/>
          <w:lang w:val="es-ES_tradnl"/>
        </w:rPr>
        <w:t xml:space="preserve"> (42,5%) y la alemana E.ON </w:t>
      </w:r>
      <w:proofErr w:type="spellStart"/>
      <w:r w:rsidRPr="003429D5">
        <w:rPr>
          <w:rFonts w:asciiTheme="minorHAnsi" w:hAnsiTheme="minorHAnsi"/>
          <w:lang w:val="es-ES_tradnl"/>
        </w:rPr>
        <w:t>Ruhrgas</w:t>
      </w:r>
      <w:proofErr w:type="spellEnd"/>
      <w:r w:rsidRPr="003429D5">
        <w:rPr>
          <w:rFonts w:asciiTheme="minorHAnsi" w:hAnsiTheme="minorHAnsi"/>
          <w:lang w:val="es-ES_tradnl"/>
        </w:rPr>
        <w:t>. (EUE 23.09)</w:t>
      </w:r>
    </w:p>
    <w:p w:rsidR="000322F5" w:rsidRPr="003429D5" w:rsidRDefault="000322F5" w:rsidP="005A3112">
      <w:pPr>
        <w:numPr>
          <w:ilvl w:val="0"/>
          <w:numId w:val="6"/>
        </w:numPr>
        <w:autoSpaceDE w:val="0"/>
        <w:autoSpaceDN w:val="0"/>
        <w:spacing w:before="100" w:beforeAutospacing="1" w:line="276" w:lineRule="auto"/>
        <w:ind w:left="284" w:hanging="284"/>
        <w:rPr>
          <w:rFonts w:asciiTheme="minorHAnsi" w:hAnsiTheme="minorHAnsi"/>
        </w:rPr>
      </w:pPr>
      <w:r w:rsidRPr="003429D5">
        <w:rPr>
          <w:rFonts w:asciiTheme="minorHAnsi" w:hAnsiTheme="minorHAnsi"/>
          <w:b/>
          <w:lang w:val="es-ES_tradnl"/>
        </w:rPr>
        <w:t xml:space="preserve">El operador de redes polaco PSE acuerda la interconexión Polonia-Lituania. </w:t>
      </w:r>
      <w:r w:rsidRPr="003429D5">
        <w:rPr>
          <w:rFonts w:asciiTheme="minorHAnsi" w:hAnsiTheme="minorHAnsi"/>
          <w:lang w:val="es-ES_tradnl"/>
        </w:rPr>
        <w:t>Esta interconexión de 400</w:t>
      </w:r>
      <w:r w:rsidR="00F86E68">
        <w:rPr>
          <w:rFonts w:asciiTheme="minorHAnsi" w:hAnsiTheme="minorHAnsi"/>
          <w:lang w:val="es-ES_tradnl"/>
        </w:rPr>
        <w:t xml:space="preserve"> </w:t>
      </w:r>
      <w:proofErr w:type="spellStart"/>
      <w:r w:rsidRPr="003429D5">
        <w:rPr>
          <w:rFonts w:asciiTheme="minorHAnsi" w:hAnsiTheme="minorHAnsi"/>
          <w:lang w:val="es-ES_tradnl"/>
        </w:rPr>
        <w:t>kV</w:t>
      </w:r>
      <w:proofErr w:type="spellEnd"/>
      <w:r w:rsidRPr="003429D5">
        <w:rPr>
          <w:rFonts w:asciiTheme="minorHAnsi" w:hAnsiTheme="minorHAnsi"/>
          <w:lang w:val="es-ES_tradnl"/>
        </w:rPr>
        <w:t xml:space="preserve"> unirá Elk con </w:t>
      </w:r>
      <w:proofErr w:type="spellStart"/>
      <w:r w:rsidRPr="003429D5">
        <w:rPr>
          <w:rFonts w:asciiTheme="minorHAnsi" w:hAnsiTheme="minorHAnsi"/>
          <w:lang w:val="es-ES_tradnl"/>
        </w:rPr>
        <w:t>Lomza</w:t>
      </w:r>
      <w:proofErr w:type="spellEnd"/>
      <w:r w:rsidRPr="003429D5">
        <w:rPr>
          <w:rFonts w:asciiTheme="minorHAnsi" w:hAnsiTheme="minorHAnsi"/>
          <w:lang w:val="es-ES_tradnl"/>
        </w:rPr>
        <w:t xml:space="preserve"> y forma parte de un grupo de 18 inversiones para construir </w:t>
      </w:r>
      <w:proofErr w:type="gramStart"/>
      <w:r w:rsidRPr="003429D5">
        <w:rPr>
          <w:rFonts w:asciiTheme="minorHAnsi" w:hAnsiTheme="minorHAnsi"/>
          <w:lang w:val="es-ES_tradnl"/>
        </w:rPr>
        <w:t>un</w:t>
      </w:r>
      <w:proofErr w:type="gramEnd"/>
      <w:r w:rsidRPr="003429D5">
        <w:rPr>
          <w:rFonts w:asciiTheme="minorHAnsi" w:hAnsiTheme="minorHAnsi"/>
          <w:lang w:val="es-ES_tradnl"/>
        </w:rPr>
        <w:t xml:space="preserve"> interconexión entre Polonia y Lituania (</w:t>
      </w:r>
      <w:proofErr w:type="spellStart"/>
      <w:r w:rsidRPr="003429D5">
        <w:rPr>
          <w:rFonts w:asciiTheme="minorHAnsi" w:hAnsiTheme="minorHAnsi"/>
          <w:lang w:val="es-ES_tradnl"/>
        </w:rPr>
        <w:t>Lit</w:t>
      </w:r>
      <w:proofErr w:type="spellEnd"/>
      <w:r w:rsidRPr="003429D5">
        <w:rPr>
          <w:rFonts w:asciiTheme="minorHAnsi" w:hAnsiTheme="minorHAnsi"/>
          <w:lang w:val="es-ES_tradnl"/>
        </w:rPr>
        <w:t>-Pol), de 150</w:t>
      </w:r>
      <w:r w:rsidR="00F86E68">
        <w:rPr>
          <w:rFonts w:asciiTheme="minorHAnsi" w:hAnsiTheme="minorHAnsi"/>
          <w:lang w:val="es-ES_tradnl"/>
        </w:rPr>
        <w:t xml:space="preserve"> </w:t>
      </w:r>
      <w:r w:rsidRPr="003429D5">
        <w:rPr>
          <w:rFonts w:asciiTheme="minorHAnsi" w:hAnsiTheme="minorHAnsi"/>
          <w:lang w:val="es-ES_tradnl"/>
        </w:rPr>
        <w:t>km y entre 600-1000</w:t>
      </w:r>
      <w:r w:rsidR="00F86E68">
        <w:rPr>
          <w:rFonts w:asciiTheme="minorHAnsi" w:hAnsiTheme="minorHAnsi"/>
          <w:lang w:val="es-ES_tradnl"/>
        </w:rPr>
        <w:t xml:space="preserve"> </w:t>
      </w:r>
      <w:r w:rsidRPr="003429D5">
        <w:rPr>
          <w:rFonts w:asciiTheme="minorHAnsi" w:hAnsiTheme="minorHAnsi"/>
          <w:lang w:val="es-ES_tradnl"/>
        </w:rPr>
        <w:t>MW que estará operativo en 2020. (EUE 23.09)</w:t>
      </w:r>
    </w:p>
    <w:p w:rsidR="000322F5" w:rsidRPr="003429D5" w:rsidRDefault="000322F5" w:rsidP="005A3112">
      <w:pPr>
        <w:numPr>
          <w:ilvl w:val="0"/>
          <w:numId w:val="6"/>
        </w:numPr>
        <w:autoSpaceDE w:val="0"/>
        <w:autoSpaceDN w:val="0"/>
        <w:spacing w:before="100" w:beforeAutospacing="1" w:line="276" w:lineRule="auto"/>
        <w:ind w:left="284" w:hanging="284"/>
        <w:rPr>
          <w:rFonts w:asciiTheme="minorHAnsi" w:hAnsiTheme="minorHAnsi"/>
        </w:rPr>
      </w:pPr>
      <w:r w:rsidRPr="003429D5">
        <w:rPr>
          <w:rFonts w:asciiTheme="minorHAnsi" w:hAnsiTheme="minorHAnsi"/>
          <w:b/>
        </w:rPr>
        <w:t>El gobierno británico gastará 5.000 millones de GBP en 11 cables submarinos que le conectarán al continente,</w:t>
      </w:r>
      <w:r w:rsidRPr="003429D5">
        <w:rPr>
          <w:rFonts w:asciiTheme="minorHAnsi" w:hAnsiTheme="minorHAnsi"/>
        </w:rPr>
        <w:t xml:space="preserve"> para evitar déficits de suministro la próxima década. En total suministrarán hasta 10</w:t>
      </w:r>
      <w:r w:rsidR="00F86E68">
        <w:rPr>
          <w:rFonts w:asciiTheme="minorHAnsi" w:hAnsiTheme="minorHAnsi"/>
        </w:rPr>
        <w:t xml:space="preserve"> </w:t>
      </w:r>
      <w:r w:rsidRPr="003429D5">
        <w:rPr>
          <w:rFonts w:asciiTheme="minorHAnsi" w:hAnsiTheme="minorHAnsi"/>
        </w:rPr>
        <w:t>GW de electricidad, suficientes para suministrar hasta 2,4 millones de hogares. El gobierno cree que para 2020 no podrá hacer frente a la creciente demanda. (Daily mail 09.10)</w:t>
      </w:r>
    </w:p>
    <w:p w:rsidR="000322F5" w:rsidRPr="003429D5" w:rsidRDefault="000322F5" w:rsidP="005A3112">
      <w:pPr>
        <w:numPr>
          <w:ilvl w:val="0"/>
          <w:numId w:val="6"/>
        </w:numPr>
        <w:autoSpaceDE w:val="0"/>
        <w:autoSpaceDN w:val="0"/>
        <w:spacing w:before="100" w:beforeAutospacing="1" w:line="276" w:lineRule="auto"/>
        <w:ind w:left="284" w:hanging="284"/>
        <w:rPr>
          <w:rFonts w:asciiTheme="minorHAnsi" w:hAnsiTheme="minorHAnsi"/>
        </w:rPr>
      </w:pPr>
      <w:r w:rsidRPr="003429D5">
        <w:rPr>
          <w:rFonts w:asciiTheme="minorHAnsi" w:hAnsiTheme="minorHAnsi"/>
          <w:b/>
        </w:rPr>
        <w:t xml:space="preserve">El operador de redes sueco acuerda construir una línea con Noruega </w:t>
      </w:r>
      <w:r w:rsidR="00C95522">
        <w:rPr>
          <w:rFonts w:asciiTheme="minorHAnsi" w:hAnsiTheme="minorHAnsi"/>
        </w:rPr>
        <w:t xml:space="preserve">de 765 millones </w:t>
      </w:r>
      <w:r w:rsidRPr="003429D5">
        <w:rPr>
          <w:rFonts w:asciiTheme="minorHAnsi" w:hAnsiTheme="minorHAnsi"/>
        </w:rPr>
        <w:t>EUR, de 400</w:t>
      </w:r>
      <w:r w:rsidR="00F86E68">
        <w:rPr>
          <w:rFonts w:asciiTheme="minorHAnsi" w:hAnsiTheme="minorHAnsi"/>
        </w:rPr>
        <w:t xml:space="preserve"> </w:t>
      </w:r>
      <w:proofErr w:type="spellStart"/>
      <w:r w:rsidRPr="003429D5">
        <w:rPr>
          <w:rFonts w:asciiTheme="minorHAnsi" w:hAnsiTheme="minorHAnsi"/>
        </w:rPr>
        <w:t>kV</w:t>
      </w:r>
      <w:proofErr w:type="spellEnd"/>
      <w:r w:rsidRPr="003429D5">
        <w:rPr>
          <w:rFonts w:asciiTheme="minorHAnsi" w:hAnsiTheme="minorHAnsi"/>
        </w:rPr>
        <w:t xml:space="preserve">. Será una línea HVDC, las cual aumentará la seguridad y mejorarla capacidad de transporte. Se espera que esta línea, </w:t>
      </w:r>
      <w:proofErr w:type="spellStart"/>
      <w:r w:rsidRPr="003429D5">
        <w:rPr>
          <w:rFonts w:asciiTheme="minorHAnsi" w:hAnsiTheme="minorHAnsi"/>
        </w:rPr>
        <w:t>SouthWest</w:t>
      </w:r>
      <w:proofErr w:type="spellEnd"/>
      <w:r w:rsidRPr="003429D5">
        <w:rPr>
          <w:rFonts w:asciiTheme="minorHAnsi" w:hAnsiTheme="minorHAnsi"/>
        </w:rPr>
        <w:t xml:space="preserve"> Link esté operativa en 2017. (EUE 07.10)</w:t>
      </w:r>
    </w:p>
    <w:p w:rsidR="000322F5" w:rsidRPr="003429D5" w:rsidRDefault="000322F5" w:rsidP="005A3112">
      <w:pPr>
        <w:numPr>
          <w:ilvl w:val="0"/>
          <w:numId w:val="6"/>
        </w:numPr>
        <w:autoSpaceDE w:val="0"/>
        <w:autoSpaceDN w:val="0"/>
        <w:spacing w:before="100" w:beforeAutospacing="1" w:line="276" w:lineRule="auto"/>
        <w:ind w:left="284" w:hanging="284"/>
        <w:rPr>
          <w:rFonts w:asciiTheme="minorHAnsi" w:hAnsiTheme="minorHAnsi"/>
        </w:rPr>
      </w:pPr>
      <w:r w:rsidRPr="003429D5">
        <w:rPr>
          <w:rFonts w:asciiTheme="minorHAnsi" w:hAnsiTheme="minorHAnsi"/>
          <w:b/>
        </w:rPr>
        <w:t xml:space="preserve">Según el estudio </w:t>
      </w:r>
      <w:hyperlink r:id="rId9" w:history="1">
        <w:proofErr w:type="spellStart"/>
        <w:r w:rsidRPr="003429D5">
          <w:rPr>
            <w:rStyle w:val="Hipervnculo"/>
            <w:rFonts w:asciiTheme="minorHAnsi" w:hAnsiTheme="minorHAnsi"/>
            <w:b/>
          </w:rPr>
          <w:t>OffshoreGrid</w:t>
        </w:r>
        <w:proofErr w:type="spellEnd"/>
      </w:hyperlink>
      <w:r w:rsidRPr="003429D5">
        <w:rPr>
          <w:rFonts w:asciiTheme="minorHAnsi" w:hAnsiTheme="minorHAnsi"/>
          <w:b/>
        </w:rPr>
        <w:t>, la red</w:t>
      </w:r>
      <w:r w:rsidR="00C95522">
        <w:rPr>
          <w:rFonts w:asciiTheme="minorHAnsi" w:hAnsiTheme="minorHAnsi"/>
          <w:b/>
        </w:rPr>
        <w:t xml:space="preserve"> offshore ahorraría 18.000 millones </w:t>
      </w:r>
      <w:r w:rsidRPr="003429D5">
        <w:rPr>
          <w:rFonts w:asciiTheme="minorHAnsi" w:hAnsiTheme="minorHAnsi"/>
          <w:b/>
        </w:rPr>
        <w:t xml:space="preserve">EUR en costes. </w:t>
      </w:r>
      <w:r w:rsidRPr="003429D5">
        <w:rPr>
          <w:rFonts w:asciiTheme="minorHAnsi" w:hAnsiTheme="minorHAnsi"/>
        </w:rPr>
        <w:t xml:space="preserve">Se calcula que el coste de la red sería de ente 5.000-6.000 </w:t>
      </w:r>
      <w:r w:rsidR="00C95522">
        <w:rPr>
          <w:rFonts w:asciiTheme="minorHAnsi" w:hAnsiTheme="minorHAnsi"/>
        </w:rPr>
        <w:t>m</w:t>
      </w:r>
      <w:r w:rsidRPr="003429D5">
        <w:rPr>
          <w:rFonts w:asciiTheme="minorHAnsi" w:hAnsiTheme="minorHAnsi"/>
        </w:rPr>
        <w:t>ill</w:t>
      </w:r>
      <w:r w:rsidR="00C95522">
        <w:rPr>
          <w:rFonts w:asciiTheme="minorHAnsi" w:hAnsiTheme="minorHAnsi"/>
        </w:rPr>
        <w:t xml:space="preserve">ones </w:t>
      </w:r>
      <w:r w:rsidRPr="003429D5">
        <w:rPr>
          <w:rFonts w:asciiTheme="minorHAnsi" w:hAnsiTheme="minorHAnsi"/>
        </w:rPr>
        <w:t>EUR, pero los beneficios de una red más interconectada serían muy superiores. Además</w:t>
      </w:r>
      <w:r w:rsidR="00F86E68">
        <w:rPr>
          <w:rFonts w:asciiTheme="minorHAnsi" w:hAnsiTheme="minorHAnsi"/>
        </w:rPr>
        <w:t>,</w:t>
      </w:r>
      <w:r w:rsidRPr="003429D5">
        <w:rPr>
          <w:rFonts w:asciiTheme="minorHAnsi" w:hAnsiTheme="minorHAnsi"/>
        </w:rPr>
        <w:t xml:space="preserve"> los parques eólicos offshore se conectarían a </w:t>
      </w:r>
      <w:proofErr w:type="spellStart"/>
      <w:r w:rsidRPr="003429D5">
        <w:rPr>
          <w:rFonts w:asciiTheme="minorHAnsi" w:hAnsiTheme="minorHAnsi"/>
        </w:rPr>
        <w:t>hubs</w:t>
      </w:r>
      <w:proofErr w:type="spellEnd"/>
      <w:r w:rsidRPr="003429D5">
        <w:rPr>
          <w:rFonts w:asciiTheme="minorHAnsi" w:hAnsiTheme="minorHAnsi"/>
        </w:rPr>
        <w:t>, lo cual también ahorraría costes. (RER 17.10)</w:t>
      </w:r>
    </w:p>
    <w:p w:rsidR="000322F5" w:rsidRPr="003429D5" w:rsidRDefault="000322F5" w:rsidP="005A3112">
      <w:pPr>
        <w:numPr>
          <w:ilvl w:val="0"/>
          <w:numId w:val="6"/>
        </w:numPr>
        <w:autoSpaceDE w:val="0"/>
        <w:autoSpaceDN w:val="0"/>
        <w:spacing w:before="100" w:beforeAutospacing="1" w:line="276" w:lineRule="auto"/>
        <w:ind w:left="284" w:hanging="284"/>
        <w:rPr>
          <w:rFonts w:asciiTheme="minorHAnsi" w:hAnsiTheme="minorHAnsi"/>
        </w:rPr>
      </w:pPr>
      <w:r w:rsidRPr="003429D5">
        <w:rPr>
          <w:rFonts w:asciiTheme="minorHAnsi" w:hAnsiTheme="minorHAnsi"/>
          <w:b/>
        </w:rPr>
        <w:t xml:space="preserve">La región italiana de </w:t>
      </w:r>
      <w:proofErr w:type="spellStart"/>
      <w:r w:rsidRPr="003429D5">
        <w:rPr>
          <w:rFonts w:asciiTheme="minorHAnsi" w:hAnsiTheme="minorHAnsi"/>
          <w:b/>
        </w:rPr>
        <w:t>Friuli</w:t>
      </w:r>
      <w:proofErr w:type="spellEnd"/>
      <w:r w:rsidRPr="003429D5">
        <w:rPr>
          <w:rFonts w:asciiTheme="minorHAnsi" w:hAnsiTheme="minorHAnsi"/>
          <w:b/>
        </w:rPr>
        <w:t>-</w:t>
      </w:r>
      <w:proofErr w:type="spellStart"/>
      <w:r w:rsidRPr="003429D5">
        <w:rPr>
          <w:rFonts w:asciiTheme="minorHAnsi" w:hAnsiTheme="minorHAnsi"/>
          <w:b/>
        </w:rPr>
        <w:t>Venezia</w:t>
      </w:r>
      <w:proofErr w:type="spellEnd"/>
      <w:r w:rsidRPr="003429D5">
        <w:rPr>
          <w:rFonts w:asciiTheme="minorHAnsi" w:hAnsiTheme="minorHAnsi"/>
          <w:b/>
        </w:rPr>
        <w:t>-Julia construirá una línea de 300</w:t>
      </w:r>
      <w:r w:rsidR="00F86E68">
        <w:rPr>
          <w:rFonts w:asciiTheme="minorHAnsi" w:hAnsiTheme="minorHAnsi"/>
          <w:b/>
        </w:rPr>
        <w:t xml:space="preserve"> </w:t>
      </w:r>
      <w:r w:rsidRPr="003429D5">
        <w:rPr>
          <w:rFonts w:asciiTheme="minorHAnsi" w:hAnsiTheme="minorHAnsi"/>
          <w:b/>
        </w:rPr>
        <w:t>MW con Eslovenia</w:t>
      </w:r>
      <w:r w:rsidRPr="003429D5">
        <w:rPr>
          <w:rFonts w:asciiTheme="minorHAnsi" w:hAnsiTheme="minorHAnsi"/>
        </w:rPr>
        <w:t>. Esta interconexión “</w:t>
      </w:r>
      <w:proofErr w:type="spellStart"/>
      <w:r w:rsidRPr="003429D5">
        <w:rPr>
          <w:rFonts w:asciiTheme="minorHAnsi" w:hAnsiTheme="minorHAnsi"/>
        </w:rPr>
        <w:t>Redipuglia-Vrtojba</w:t>
      </w:r>
      <w:proofErr w:type="spellEnd"/>
      <w:r w:rsidRPr="003429D5">
        <w:rPr>
          <w:rFonts w:asciiTheme="minorHAnsi" w:hAnsiTheme="minorHAnsi"/>
        </w:rPr>
        <w:t>”. La línea, de 20 km de extensión será subterránea. (EUE 21.10)</w:t>
      </w:r>
    </w:p>
    <w:p w:rsidR="000322F5" w:rsidRDefault="000322F5" w:rsidP="003429D5">
      <w:pPr>
        <w:pStyle w:val="Ttulo3"/>
        <w:rPr>
          <w:lang w:val="es-ES_tradnl"/>
        </w:rPr>
      </w:pPr>
      <w:r>
        <w:rPr>
          <w:lang w:val="es-ES_tradnl"/>
        </w:rPr>
        <w:t>Europa – Nuclear</w:t>
      </w:r>
    </w:p>
    <w:p w:rsidR="000322F5" w:rsidRDefault="000322F5" w:rsidP="005A3112">
      <w:pPr>
        <w:numPr>
          <w:ilvl w:val="0"/>
          <w:numId w:val="7"/>
        </w:numPr>
        <w:spacing w:before="100" w:beforeAutospacing="1" w:line="276" w:lineRule="auto"/>
        <w:ind w:left="284" w:hanging="284"/>
      </w:pPr>
      <w:r>
        <w:rPr>
          <w:b/>
          <w:lang w:val="es-ES_tradnl"/>
        </w:rPr>
        <w:t xml:space="preserve">El regulador Alemán afirma que no se necesita energía nuclear de reserva. </w:t>
      </w:r>
      <w:r w:rsidRPr="0023478B">
        <w:rPr>
          <w:lang w:val="es-ES_tradnl"/>
        </w:rPr>
        <w:t>Alemania ya tiene asegurada capacidad de reserva con Austria de 1.075</w:t>
      </w:r>
      <w:r w:rsidR="00F86E68">
        <w:rPr>
          <w:lang w:val="es-ES_tradnl"/>
        </w:rPr>
        <w:t xml:space="preserve"> </w:t>
      </w:r>
      <w:r w:rsidRPr="0023478B">
        <w:rPr>
          <w:lang w:val="es-ES_tradnl"/>
        </w:rPr>
        <w:t>MW además</w:t>
      </w:r>
      <w:r w:rsidR="00F86E68">
        <w:rPr>
          <w:lang w:val="es-ES_tradnl"/>
        </w:rPr>
        <w:t>,</w:t>
      </w:r>
      <w:r w:rsidRPr="0023478B">
        <w:rPr>
          <w:lang w:val="es-ES_tradnl"/>
        </w:rPr>
        <w:t xml:space="preserve"> de tener en reserva antiguas centrales térmicas de 1,000</w:t>
      </w:r>
      <w:r w:rsidR="00F86E68">
        <w:rPr>
          <w:lang w:val="es-ES_tradnl"/>
        </w:rPr>
        <w:t xml:space="preserve"> </w:t>
      </w:r>
      <w:r w:rsidRPr="0023478B">
        <w:rPr>
          <w:lang w:val="es-ES_tradnl"/>
        </w:rPr>
        <w:t>MW para garantizar la energía en situaciones de frio extremo durante los próximos dos años. (EUE 09.11</w:t>
      </w:r>
      <w:r w:rsidRPr="0023478B">
        <w:t>)</w:t>
      </w:r>
    </w:p>
    <w:p w:rsidR="000322F5" w:rsidRDefault="000322F5" w:rsidP="005A3112">
      <w:pPr>
        <w:numPr>
          <w:ilvl w:val="0"/>
          <w:numId w:val="7"/>
        </w:numPr>
        <w:spacing w:before="100" w:beforeAutospacing="1" w:line="276" w:lineRule="auto"/>
        <w:ind w:left="284" w:hanging="284"/>
      </w:pPr>
      <w:r>
        <w:rPr>
          <w:b/>
        </w:rPr>
        <w:t>Apoyo nuclear condicionado y finalmente limitado en Suiza.</w:t>
      </w:r>
      <w:r>
        <w:t xml:space="preserve"> </w:t>
      </w:r>
      <w:r w:rsidRPr="00033DB8">
        <w:t xml:space="preserve">El Senado suizo votó el pasado 30 de agosto por </w:t>
      </w:r>
      <w:r>
        <w:t>la prohibición de construcción de nucleares de la presente generación</w:t>
      </w:r>
      <w:r w:rsidRPr="00033DB8">
        <w:t>, pero dejando abi</w:t>
      </w:r>
      <w:r>
        <w:t>erta la posibilidad de su constr</w:t>
      </w:r>
      <w:r w:rsidRPr="00033DB8">
        <w:t>ucci</w:t>
      </w:r>
      <w:r>
        <w:t>ón futura ‘si estuviera disponible en el mercado tecnología limpia y segura’. Finalmente</w:t>
      </w:r>
      <w:r w:rsidR="00F86E68">
        <w:t>,</w:t>
      </w:r>
      <w:r>
        <w:t xml:space="preserve"> </w:t>
      </w:r>
      <w:r w:rsidRPr="007A763B">
        <w:rPr>
          <w:b/>
        </w:rPr>
        <w:t>se ha votado en el parlamento el pasado 28 de septiembre el cierre de las nucl</w:t>
      </w:r>
      <w:r>
        <w:rPr>
          <w:b/>
        </w:rPr>
        <w:t>e</w:t>
      </w:r>
      <w:r w:rsidRPr="007A763B">
        <w:rPr>
          <w:b/>
        </w:rPr>
        <w:t>ares para 2034</w:t>
      </w:r>
      <w:r>
        <w:t>. La nuclear supone el 40% de los recursos energéticos. (PIE 03.10)(EUE 07.10)</w:t>
      </w:r>
    </w:p>
    <w:p w:rsidR="000322F5" w:rsidRDefault="000322F5" w:rsidP="005A3112">
      <w:pPr>
        <w:numPr>
          <w:ilvl w:val="0"/>
          <w:numId w:val="7"/>
        </w:numPr>
        <w:spacing w:before="100" w:beforeAutospacing="1" w:line="276" w:lineRule="auto"/>
        <w:ind w:left="284" w:hanging="284"/>
      </w:pPr>
      <w:r>
        <w:rPr>
          <w:b/>
        </w:rPr>
        <w:t>Los planes nucleares de Chequia preocupan a Austria.</w:t>
      </w:r>
      <w:r>
        <w:t xml:space="preserve"> Chequia pretende construir 10 centrales nucleares para 2050, tal y como manifiesta en el borrador de su Estrategia Energética Nacional Checa aunque la versión final del documento se publicará a finales de año. Austria ha propuesto recientemente introducir la prohibición de importar energía proveniente de nucleares para 2015, algo que parece imposible dad su dependencia energética de Chequia. (EUE 23.09)</w:t>
      </w:r>
      <w:r w:rsidR="00F86E68">
        <w:t xml:space="preserve"> y </w:t>
      </w:r>
      <w:r>
        <w:t>(PIE 03.10)</w:t>
      </w:r>
    </w:p>
    <w:p w:rsidR="000322F5" w:rsidRPr="00033DB8" w:rsidRDefault="000322F5" w:rsidP="005A3112">
      <w:pPr>
        <w:numPr>
          <w:ilvl w:val="0"/>
          <w:numId w:val="7"/>
        </w:numPr>
        <w:spacing w:before="100" w:beforeAutospacing="1" w:line="276" w:lineRule="auto"/>
        <w:ind w:left="284" w:hanging="284"/>
      </w:pPr>
      <w:r>
        <w:rPr>
          <w:b/>
        </w:rPr>
        <w:t>Según la OCDE el coste del abandono de la nuclear le costará a los generadores de Alemania 32.</w:t>
      </w:r>
      <w:r w:rsidRPr="004F01E3">
        <w:rPr>
          <w:b/>
        </w:rPr>
        <w:t xml:space="preserve">000 </w:t>
      </w:r>
      <w:r>
        <w:rPr>
          <w:b/>
        </w:rPr>
        <w:t>millones</w:t>
      </w:r>
      <w:r w:rsidRPr="004F01E3">
        <w:rPr>
          <w:b/>
        </w:rPr>
        <w:t xml:space="preserve"> EUR</w:t>
      </w:r>
      <w:r>
        <w:t>. (EUE 23.09)</w:t>
      </w:r>
    </w:p>
    <w:p w:rsidR="000322F5" w:rsidRDefault="000322F5" w:rsidP="005A3112">
      <w:pPr>
        <w:numPr>
          <w:ilvl w:val="0"/>
          <w:numId w:val="7"/>
        </w:numPr>
        <w:spacing w:before="100" w:beforeAutospacing="1" w:line="276" w:lineRule="auto"/>
        <w:ind w:left="284" w:hanging="284"/>
      </w:pPr>
      <w:r>
        <w:rPr>
          <w:b/>
        </w:rPr>
        <w:t xml:space="preserve">Estonia suspende sus planes nucleares en vistas a participar en el accionariado de la central lituana de </w:t>
      </w:r>
      <w:proofErr w:type="spellStart"/>
      <w:r>
        <w:rPr>
          <w:b/>
        </w:rPr>
        <w:t>Visagina</w:t>
      </w:r>
      <w:proofErr w:type="spellEnd"/>
      <w:r>
        <w:rPr>
          <w:b/>
        </w:rPr>
        <w:t xml:space="preserve"> </w:t>
      </w:r>
      <w:r>
        <w:t>con</w:t>
      </w:r>
      <w:r w:rsidRPr="001A3543">
        <w:t xml:space="preserve"> </w:t>
      </w:r>
      <w:r>
        <w:t>una participación equivalente</w:t>
      </w:r>
      <w:r w:rsidRPr="001A3543">
        <w:t xml:space="preserve"> a 200-400</w:t>
      </w:r>
      <w:r w:rsidR="00F86E68">
        <w:t xml:space="preserve"> </w:t>
      </w:r>
      <w:r w:rsidRPr="001A3543">
        <w:t>MW</w:t>
      </w:r>
      <w:r w:rsidR="00F86E68">
        <w:t>.</w:t>
      </w:r>
      <w:r w:rsidRPr="001A3543">
        <w:t xml:space="preserve"> (EUE 07.10)</w:t>
      </w:r>
    </w:p>
    <w:p w:rsidR="000322F5" w:rsidRDefault="000322F5" w:rsidP="005A3112">
      <w:pPr>
        <w:numPr>
          <w:ilvl w:val="0"/>
          <w:numId w:val="7"/>
        </w:numPr>
        <w:spacing w:before="100" w:beforeAutospacing="1" w:line="276" w:lineRule="auto"/>
        <w:ind w:left="284" w:hanging="284"/>
      </w:pPr>
      <w:r w:rsidRPr="00677784">
        <w:rPr>
          <w:b/>
        </w:rPr>
        <w:t>E.ON y RWE podrían recibir un reembolso del impuesto nuclear de 96</w:t>
      </w:r>
      <w:r>
        <w:rPr>
          <w:b/>
        </w:rPr>
        <w:t xml:space="preserve"> millones EUR</w:t>
      </w:r>
      <w:r w:rsidRPr="00677784">
        <w:rPr>
          <w:b/>
        </w:rPr>
        <w:t xml:space="preserve"> y 74</w:t>
      </w:r>
      <w:r>
        <w:rPr>
          <w:b/>
        </w:rPr>
        <w:t xml:space="preserve"> millones EUR</w:t>
      </w:r>
      <w:r w:rsidR="00F86E68">
        <w:rPr>
          <w:b/>
        </w:rPr>
        <w:t xml:space="preserve"> </w:t>
      </w:r>
      <w:r w:rsidRPr="00677784">
        <w:rPr>
          <w:b/>
        </w:rPr>
        <w:t xml:space="preserve"> respectivamente:</w:t>
      </w:r>
      <w:r w:rsidRPr="00677784">
        <w:t xml:space="preserve"> </w:t>
      </w:r>
      <w:r>
        <w:t>a primeros de octubre,</w:t>
      </w:r>
      <w:r w:rsidRPr="00677784">
        <w:t xml:space="preserve"> los </w:t>
      </w:r>
      <w:r>
        <w:t>T</w:t>
      </w:r>
      <w:r w:rsidRPr="00677784">
        <w:t>ribunal</w:t>
      </w:r>
      <w:r>
        <w:t>e</w:t>
      </w:r>
      <w:r w:rsidRPr="00677784">
        <w:t>s de H</w:t>
      </w:r>
      <w:r>
        <w:t>a</w:t>
      </w:r>
      <w:r w:rsidRPr="00677784">
        <w:t xml:space="preserve">mburgo y </w:t>
      </w:r>
      <w:proofErr w:type="spellStart"/>
      <w:r w:rsidRPr="00677784">
        <w:t>Munich</w:t>
      </w:r>
      <w:proofErr w:type="spellEnd"/>
      <w:r w:rsidRPr="00677784">
        <w:t xml:space="preserve"> decid</w:t>
      </w:r>
      <w:r>
        <w:t>ieron que la tasa nuclear era i</w:t>
      </w:r>
      <w:r w:rsidRPr="00677784">
        <w:t>legal</w:t>
      </w:r>
      <w:r>
        <w:t xml:space="preserve">. </w:t>
      </w:r>
      <w:r w:rsidRPr="00677784">
        <w:t>Adicionalmente, se deberían reembolsar las tasas ya pagadas en 2011. E</w:t>
      </w:r>
      <w:r>
        <w:t>l</w:t>
      </w:r>
      <w:r w:rsidRPr="00677784">
        <w:t xml:space="preserve"> gobierno </w:t>
      </w:r>
      <w:r>
        <w:t>h</w:t>
      </w:r>
      <w:r w:rsidRPr="00677784">
        <w:t>a apelado la d</w:t>
      </w:r>
      <w:r>
        <w:t>e</w:t>
      </w:r>
      <w:r w:rsidRPr="00677784">
        <w:t>cisión por lo que habrá que esperar a la decisión fi</w:t>
      </w:r>
      <w:r>
        <w:t>n</w:t>
      </w:r>
      <w:r w:rsidRPr="00677784">
        <w:t>al de la corte federal de finanzas. (</w:t>
      </w:r>
      <w:proofErr w:type="spellStart"/>
      <w:r w:rsidRPr="00677784">
        <w:t>Handelsblatt</w:t>
      </w:r>
      <w:proofErr w:type="spellEnd"/>
      <w:r w:rsidRPr="00677784">
        <w:t xml:space="preserve"> 25.10)</w:t>
      </w:r>
      <w:r>
        <w:t>.</w:t>
      </w:r>
    </w:p>
    <w:p w:rsidR="000322F5" w:rsidRPr="00E449B5" w:rsidRDefault="000322F5" w:rsidP="005A3112">
      <w:pPr>
        <w:numPr>
          <w:ilvl w:val="0"/>
          <w:numId w:val="7"/>
        </w:numPr>
        <w:spacing w:before="100" w:beforeAutospacing="1" w:line="276" w:lineRule="auto"/>
        <w:ind w:left="284" w:hanging="284"/>
      </w:pPr>
      <w:r w:rsidRPr="000C14AF">
        <w:rPr>
          <w:b/>
        </w:rPr>
        <w:t>GDF Suez revisará sus planes nucleares en Bélgica si el gobierno decide aumentar la act</w:t>
      </w:r>
      <w:r>
        <w:rPr>
          <w:b/>
        </w:rPr>
        <w:t>ual tasa sobre las nucleares, má</w:t>
      </w:r>
      <w:r w:rsidRPr="000C14AF">
        <w:rPr>
          <w:b/>
        </w:rPr>
        <w:t>s allá de lo previamente pactado.</w:t>
      </w:r>
      <w:r w:rsidRPr="000C14AF">
        <w:t xml:space="preserve"> De este modo si eso ocurriera, rechazaría prolongar la vida útil de sus tres centrales en Bélgica. EL gobierno se plantea aumentar la actual tasa de 250</w:t>
      </w:r>
      <w:r w:rsidR="00F86E68">
        <w:t xml:space="preserve"> </w:t>
      </w:r>
      <w:r w:rsidR="00C95522">
        <w:t xml:space="preserve">millones </w:t>
      </w:r>
      <w:r w:rsidRPr="000C14AF">
        <w:t xml:space="preserve">EUR e incluso nacionalizar los activos nucleares y distribuir los derechos operacionales de las mismas entre los competidores de </w:t>
      </w:r>
      <w:proofErr w:type="spellStart"/>
      <w:r w:rsidRPr="000C14AF">
        <w:t>Electrabel</w:t>
      </w:r>
      <w:proofErr w:type="spellEnd"/>
      <w:r w:rsidRPr="000C14AF">
        <w:t xml:space="preserve"> GDF Suez</w:t>
      </w:r>
      <w:r w:rsidR="00F86E68">
        <w:t>.</w:t>
      </w:r>
      <w:r w:rsidRPr="000C14AF">
        <w:t xml:space="preserve"> (EUE 21.10) </w:t>
      </w:r>
      <w:r w:rsidR="00F86E68">
        <w:t xml:space="preserve">y </w:t>
      </w:r>
      <w:r w:rsidRPr="000C14AF">
        <w:t>(GPR 27.10).</w:t>
      </w:r>
      <w:r w:rsidRPr="000C14AF">
        <w:rPr>
          <w:b/>
        </w:rPr>
        <w:t>)</w:t>
      </w:r>
    </w:p>
    <w:p w:rsidR="000322F5" w:rsidRPr="00E449B5" w:rsidRDefault="000322F5" w:rsidP="005A3112">
      <w:pPr>
        <w:numPr>
          <w:ilvl w:val="0"/>
          <w:numId w:val="7"/>
        </w:numPr>
        <w:spacing w:before="100" w:beforeAutospacing="1" w:line="276" w:lineRule="auto"/>
        <w:ind w:left="284" w:hanging="284"/>
      </w:pPr>
      <w:proofErr w:type="spellStart"/>
      <w:r>
        <w:rPr>
          <w:b/>
        </w:rPr>
        <w:t>Electrabel</w:t>
      </w:r>
      <w:proofErr w:type="spellEnd"/>
      <w:r>
        <w:rPr>
          <w:b/>
        </w:rPr>
        <w:t xml:space="preserve"> apela ante el Tribunal de primera instancia de Bélgica por el pago de la tasa nuclear, que lleva realizando desde 2008, </w:t>
      </w:r>
      <w:r w:rsidRPr="00B5761A">
        <w:t>al considerar que el cálculo de sus beneficios está sobreestimado. Esta tasa se calcula en función de los beneficios y se sit</w:t>
      </w:r>
      <w:r>
        <w:t>uaba</w:t>
      </w:r>
      <w:r w:rsidRPr="00B5761A">
        <w:t xml:space="preserve"> en</w:t>
      </w:r>
      <w:r>
        <w:t xml:space="preserve"> 250 millones EUR, de los cuales </w:t>
      </w:r>
      <w:proofErr w:type="spellStart"/>
      <w:r>
        <w:t>Electrabel</w:t>
      </w:r>
      <w:proofErr w:type="spellEnd"/>
      <w:r>
        <w:t xml:space="preserve"> pagaba el 87% (EUE 23.09)</w:t>
      </w:r>
      <w:r w:rsidRPr="000C14AF">
        <w:t xml:space="preserve"> </w:t>
      </w:r>
      <w:proofErr w:type="spellStart"/>
      <w:r>
        <w:t>E</w:t>
      </w:r>
      <w:r w:rsidRPr="00CF7363">
        <w:t>lectrabel</w:t>
      </w:r>
      <w:proofErr w:type="spellEnd"/>
      <w:r w:rsidRPr="00CF7363">
        <w:t xml:space="preserve"> está determinada a pedir la devolución de la tasa pagada en 2008, 2009 y 2010. (Tax-News.com, 19.09)</w:t>
      </w:r>
      <w:r>
        <w:t>. El Gobierno ha decidido aumentar la tasa a 550 millones EUR. (</w:t>
      </w:r>
      <w:proofErr w:type="spellStart"/>
      <w:r>
        <w:t>GDFSuez</w:t>
      </w:r>
      <w:proofErr w:type="spellEnd"/>
      <w:r>
        <w:t xml:space="preserve"> 15.11)</w:t>
      </w:r>
    </w:p>
    <w:p w:rsidR="000322F5" w:rsidRDefault="000322F5" w:rsidP="00600C49">
      <w:pPr>
        <w:pStyle w:val="Ttulo3"/>
        <w:rPr>
          <w:lang w:val="es-ES_tradnl"/>
        </w:rPr>
      </w:pPr>
      <w:r>
        <w:rPr>
          <w:lang w:val="es-ES_tradnl"/>
        </w:rPr>
        <w:t>Europa – Gas</w:t>
      </w:r>
    </w:p>
    <w:p w:rsidR="000322F5" w:rsidRPr="00393739" w:rsidRDefault="000322F5" w:rsidP="005A3112">
      <w:pPr>
        <w:numPr>
          <w:ilvl w:val="0"/>
          <w:numId w:val="13"/>
        </w:numPr>
        <w:spacing w:before="100" w:beforeAutospacing="1" w:line="276" w:lineRule="auto"/>
        <w:ind w:left="284" w:hanging="284"/>
        <w:rPr>
          <w:lang w:val="es-ES_tradnl"/>
        </w:rPr>
      </w:pPr>
      <w:r w:rsidRPr="00E449B5">
        <w:rPr>
          <w:b/>
          <w:lang w:val="es-ES_tradnl"/>
        </w:rPr>
        <w:t xml:space="preserve">Polonia aspira a comercializar gas de esquisto en 2014, tras el éxito de los test llevados a cabo por la empresa </w:t>
      </w:r>
      <w:proofErr w:type="spellStart"/>
      <w:r w:rsidRPr="00E449B5">
        <w:rPr>
          <w:b/>
          <w:lang w:val="es-ES_tradnl"/>
        </w:rPr>
        <w:t>PGNiG</w:t>
      </w:r>
      <w:proofErr w:type="spellEnd"/>
      <w:r w:rsidRPr="00E449B5">
        <w:rPr>
          <w:lang w:val="es-ES_tradnl"/>
        </w:rPr>
        <w:t xml:space="preserve">, los cuales demuestran que la concesión de </w:t>
      </w:r>
      <w:proofErr w:type="spellStart"/>
      <w:r w:rsidRPr="00E449B5">
        <w:rPr>
          <w:lang w:val="es-ES_tradnl"/>
        </w:rPr>
        <w:t>Wejherowo</w:t>
      </w:r>
      <w:proofErr w:type="spellEnd"/>
      <w:r w:rsidRPr="00E449B5">
        <w:rPr>
          <w:lang w:val="es-ES_tradnl"/>
        </w:rPr>
        <w:t xml:space="preserve"> tiene un gran potencial para este tipo de gas. Polonia, con un consumo anual de 14</w:t>
      </w:r>
      <w:r w:rsidR="00EC2E9E">
        <w:rPr>
          <w:lang w:val="es-ES_tradnl"/>
        </w:rPr>
        <w:t xml:space="preserve"> </w:t>
      </w:r>
      <w:proofErr w:type="spellStart"/>
      <w:r w:rsidRPr="00E449B5">
        <w:rPr>
          <w:lang w:val="es-ES_tradnl"/>
        </w:rPr>
        <w:t>bcm</w:t>
      </w:r>
      <w:proofErr w:type="spellEnd"/>
      <w:r w:rsidRPr="00E449B5">
        <w:rPr>
          <w:lang w:val="es-ES_tradnl"/>
        </w:rPr>
        <w:t xml:space="preserve">/año, es altamente dependiente de Rusia, por lo que el gas de esquisto reduciría considerablemente esta dependencia. (EUE 23.09). </w:t>
      </w:r>
      <w:r w:rsidRPr="00E449B5">
        <w:rPr>
          <w:b/>
          <w:lang w:val="es-ES_tradnl"/>
        </w:rPr>
        <w:t xml:space="preserve">La cámara baja del parlamento polaco aprueba la modificación a la ley de almacenamiento de gas, </w:t>
      </w:r>
      <w:r w:rsidRPr="00E449B5">
        <w:rPr>
          <w:lang w:val="es-ES_tradnl"/>
        </w:rPr>
        <w:t xml:space="preserve">de modo que evita así la posible penalización por parte de la CE al incumplir con la legislación europea. La EC afirmaba que la obligación impuesta a los </w:t>
      </w:r>
      <w:proofErr w:type="spellStart"/>
      <w:r w:rsidRPr="00E449B5">
        <w:rPr>
          <w:lang w:val="es-ES_tradnl"/>
        </w:rPr>
        <w:t>traders</w:t>
      </w:r>
      <w:proofErr w:type="spellEnd"/>
      <w:r w:rsidRPr="00E449B5">
        <w:rPr>
          <w:lang w:val="es-ES_tradnl"/>
        </w:rPr>
        <w:t xml:space="preserve"> de gas para almacenar gas en Polonia creaba obstáculos a los nuevos entrantes. La nueva norma permite los almacenamientos de gas fuera del país. (EUE 23.09)</w:t>
      </w:r>
    </w:p>
    <w:p w:rsidR="000322F5" w:rsidRDefault="000322F5" w:rsidP="005A3112">
      <w:pPr>
        <w:numPr>
          <w:ilvl w:val="0"/>
          <w:numId w:val="13"/>
        </w:numPr>
        <w:spacing w:before="100" w:beforeAutospacing="1" w:line="276" w:lineRule="auto"/>
        <w:ind w:left="284" w:hanging="284"/>
        <w:rPr>
          <w:lang w:val="es-ES_tradnl"/>
        </w:rPr>
      </w:pPr>
      <w:r>
        <w:rPr>
          <w:b/>
          <w:lang w:val="es-ES_tradnl"/>
        </w:rPr>
        <w:t xml:space="preserve">El regulador francés CRE se opone a la congelación de las tarifas de gas propuestas por el Gobierno. </w:t>
      </w:r>
      <w:r w:rsidRPr="00D63BF8">
        <w:rPr>
          <w:lang w:val="es-ES_tradnl"/>
        </w:rPr>
        <w:t>Según la CRE, la congelación de las tarifas a residenciales y pequeñas empresas hace que no se cubran los costes de adquisición de GDF Suez. En cambio</w:t>
      </w:r>
      <w:r w:rsidR="00EC2E9E">
        <w:rPr>
          <w:lang w:val="es-ES_tradnl"/>
        </w:rPr>
        <w:t>,</w:t>
      </w:r>
      <w:r w:rsidRPr="00D63BF8">
        <w:rPr>
          <w:lang w:val="es-ES_tradnl"/>
        </w:rPr>
        <w:t xml:space="preserve"> el gobierno quiere subir las tarifas a grandes consumidores en un 4,9%. GDF Suez se plantea iniciar medidas legales. (EUE 07.10)</w:t>
      </w:r>
    </w:p>
    <w:p w:rsidR="000322F5" w:rsidRDefault="000322F5" w:rsidP="005A3112">
      <w:pPr>
        <w:numPr>
          <w:ilvl w:val="0"/>
          <w:numId w:val="13"/>
        </w:numPr>
        <w:spacing w:before="100" w:beforeAutospacing="1" w:line="276" w:lineRule="auto"/>
        <w:ind w:left="284" w:hanging="284"/>
        <w:rPr>
          <w:lang w:val="es-ES_tradnl"/>
        </w:rPr>
      </w:pPr>
      <w:r>
        <w:rPr>
          <w:b/>
          <w:lang w:val="es-ES_tradnl"/>
        </w:rPr>
        <w:t>Estonia explotará sus recursos de gas de esquisto</w:t>
      </w:r>
      <w:r w:rsidRPr="005D15B8">
        <w:rPr>
          <w:lang w:val="es-ES_tradnl"/>
        </w:rPr>
        <w:t xml:space="preserve">. La empresa </w:t>
      </w:r>
      <w:proofErr w:type="spellStart"/>
      <w:r w:rsidRPr="005D15B8">
        <w:rPr>
          <w:lang w:val="es-ES_tradnl"/>
        </w:rPr>
        <w:t>Eesti</w:t>
      </w:r>
      <w:proofErr w:type="spellEnd"/>
      <w:r w:rsidRPr="005D15B8">
        <w:rPr>
          <w:lang w:val="es-ES_tradnl"/>
        </w:rPr>
        <w:t xml:space="preserve"> </w:t>
      </w:r>
      <w:proofErr w:type="spellStart"/>
      <w:r w:rsidRPr="005D15B8">
        <w:rPr>
          <w:lang w:val="es-ES_tradnl"/>
        </w:rPr>
        <w:t>Energia</w:t>
      </w:r>
      <w:proofErr w:type="spellEnd"/>
      <w:r w:rsidRPr="005D15B8">
        <w:rPr>
          <w:lang w:val="es-ES_tradnl"/>
        </w:rPr>
        <w:t xml:space="preserve"> está construyendo una central de 300</w:t>
      </w:r>
      <w:r w:rsidR="00EC2E9E">
        <w:rPr>
          <w:lang w:val="es-ES_tradnl"/>
        </w:rPr>
        <w:t xml:space="preserve"> </w:t>
      </w:r>
      <w:r w:rsidRPr="005D15B8">
        <w:rPr>
          <w:lang w:val="es-ES_tradnl"/>
        </w:rPr>
        <w:t>MW cuyo combustible es el gas de esquisto y que estará en línea en 2015. (EUE 07.10)</w:t>
      </w:r>
    </w:p>
    <w:p w:rsidR="000322F5" w:rsidRPr="004F01E3" w:rsidRDefault="000322F5" w:rsidP="005A3112">
      <w:pPr>
        <w:numPr>
          <w:ilvl w:val="0"/>
          <w:numId w:val="13"/>
        </w:numPr>
        <w:spacing w:before="100" w:beforeAutospacing="1" w:line="276" w:lineRule="auto"/>
        <w:ind w:left="284" w:hanging="284"/>
        <w:rPr>
          <w:lang w:val="es-ES_tradnl"/>
        </w:rPr>
      </w:pPr>
      <w:r>
        <w:rPr>
          <w:b/>
          <w:lang w:val="es-ES_tradnl"/>
        </w:rPr>
        <w:t xml:space="preserve">Italia empieza con los test de su mercado de ajuste de gas en octubre, </w:t>
      </w:r>
      <w:r w:rsidRPr="004F01E3">
        <w:rPr>
          <w:lang w:val="es-ES_tradnl"/>
        </w:rPr>
        <w:t>como paso previo a su lanzamiento para diciembre de 2011. (EUE 21.10)</w:t>
      </w:r>
    </w:p>
    <w:p w:rsidR="000322F5" w:rsidRDefault="000322F5" w:rsidP="00600C49">
      <w:pPr>
        <w:pStyle w:val="Ttulo3"/>
        <w:rPr>
          <w:lang w:val="es-ES_tradnl"/>
        </w:rPr>
      </w:pPr>
      <w:r>
        <w:rPr>
          <w:lang w:val="es-ES_tradnl"/>
        </w:rPr>
        <w:t>Norteamérica – Renovables y Medio Ambiente</w:t>
      </w:r>
    </w:p>
    <w:p w:rsidR="000322F5" w:rsidRPr="00FA4A84" w:rsidRDefault="000322F5" w:rsidP="005A3112">
      <w:pPr>
        <w:numPr>
          <w:ilvl w:val="0"/>
          <w:numId w:val="8"/>
        </w:numPr>
        <w:spacing w:before="100" w:beforeAutospacing="1" w:line="276" w:lineRule="auto"/>
        <w:ind w:left="284" w:hanging="284"/>
        <w:rPr>
          <w:b/>
          <w:lang w:val="es-ES_tradnl"/>
        </w:rPr>
      </w:pPr>
      <w:r w:rsidRPr="00842444">
        <w:rPr>
          <w:rFonts w:cs="Arial"/>
          <w:b/>
        </w:rPr>
        <w:t xml:space="preserve">New York </w:t>
      </w:r>
      <w:proofErr w:type="spellStart"/>
      <w:r w:rsidRPr="00842444">
        <w:rPr>
          <w:rFonts w:cs="Arial"/>
          <w:b/>
        </w:rPr>
        <w:t>Power</w:t>
      </w:r>
      <w:proofErr w:type="spellEnd"/>
      <w:r w:rsidRPr="00842444">
        <w:rPr>
          <w:rFonts w:cs="Arial"/>
          <w:b/>
        </w:rPr>
        <w:t xml:space="preserve"> </w:t>
      </w:r>
      <w:proofErr w:type="spellStart"/>
      <w:r w:rsidRPr="00842444">
        <w:rPr>
          <w:rFonts w:cs="Arial"/>
          <w:b/>
        </w:rPr>
        <w:t>Authority</w:t>
      </w:r>
      <w:proofErr w:type="spellEnd"/>
      <w:r w:rsidRPr="00842444">
        <w:rPr>
          <w:rFonts w:cs="Arial"/>
          <w:b/>
        </w:rPr>
        <w:t xml:space="preserve"> cancela el plan del parque eólico de Great </w:t>
      </w:r>
      <w:proofErr w:type="spellStart"/>
      <w:r w:rsidRPr="00842444">
        <w:rPr>
          <w:rFonts w:cs="Arial"/>
          <w:b/>
        </w:rPr>
        <w:t>Lakes</w:t>
      </w:r>
      <w:proofErr w:type="spellEnd"/>
      <w:r w:rsidRPr="00842444">
        <w:rPr>
          <w:rFonts w:cs="Arial"/>
          <w:b/>
        </w:rPr>
        <w:t xml:space="preserve"> alegando motivos económicos</w:t>
      </w:r>
      <w:r>
        <w:rPr>
          <w:rFonts w:cs="Arial"/>
        </w:rPr>
        <w:t xml:space="preserve">, al calcular que cuesta 4 veces más que un proyecto </w:t>
      </w:r>
      <w:proofErr w:type="spellStart"/>
      <w:r w:rsidRPr="00F6455C">
        <w:rPr>
          <w:rFonts w:cs="Arial"/>
          <w:i/>
        </w:rPr>
        <w:t>onshore</w:t>
      </w:r>
      <w:proofErr w:type="spellEnd"/>
      <w:r>
        <w:rPr>
          <w:rFonts w:cs="Arial"/>
        </w:rPr>
        <w:t>. (GPR 29.09)</w:t>
      </w:r>
    </w:p>
    <w:p w:rsidR="000322F5" w:rsidRPr="00FA4A84" w:rsidRDefault="000322F5" w:rsidP="005A3112">
      <w:pPr>
        <w:numPr>
          <w:ilvl w:val="0"/>
          <w:numId w:val="8"/>
        </w:numPr>
        <w:spacing w:before="100" w:beforeAutospacing="1" w:line="276" w:lineRule="auto"/>
        <w:ind w:left="284" w:hanging="284"/>
        <w:rPr>
          <w:b/>
          <w:lang w:val="es-ES_tradnl"/>
        </w:rPr>
      </w:pPr>
      <w:r>
        <w:rPr>
          <w:rFonts w:cs="Arial"/>
          <w:b/>
        </w:rPr>
        <w:t xml:space="preserve">Incertidumbre sobre si Florida aprobará el </w:t>
      </w:r>
      <w:proofErr w:type="spellStart"/>
      <w:r>
        <w:rPr>
          <w:rFonts w:cs="Arial"/>
          <w:b/>
        </w:rPr>
        <w:t>Renewable</w:t>
      </w:r>
      <w:proofErr w:type="spellEnd"/>
      <w:r>
        <w:rPr>
          <w:rFonts w:cs="Arial"/>
          <w:b/>
        </w:rPr>
        <w:t xml:space="preserve"> Portfolio Standard para 2012. </w:t>
      </w:r>
      <w:r w:rsidRPr="00FA4A84">
        <w:rPr>
          <w:rFonts w:cs="Arial"/>
        </w:rPr>
        <w:t xml:space="preserve">En el 2011 fracasó una ley que proponía un RPS del 23% </w:t>
      </w:r>
      <w:r>
        <w:rPr>
          <w:rFonts w:cs="Arial"/>
        </w:rPr>
        <w:t>de cara a</w:t>
      </w:r>
      <w:r w:rsidRPr="00FA4A84">
        <w:rPr>
          <w:rFonts w:cs="Arial"/>
        </w:rPr>
        <w:t xml:space="preserve"> 2023</w:t>
      </w:r>
      <w:r>
        <w:rPr>
          <w:rFonts w:cs="Arial"/>
        </w:rPr>
        <w:t>. (GPR 29.09)</w:t>
      </w:r>
    </w:p>
    <w:p w:rsidR="000322F5" w:rsidRPr="00AE7054" w:rsidRDefault="000322F5" w:rsidP="005A3112">
      <w:pPr>
        <w:numPr>
          <w:ilvl w:val="0"/>
          <w:numId w:val="8"/>
        </w:numPr>
        <w:spacing w:before="100" w:beforeAutospacing="1" w:line="276" w:lineRule="auto"/>
        <w:ind w:left="284" w:hanging="284"/>
        <w:rPr>
          <w:b/>
          <w:lang w:val="es-ES_tradnl"/>
        </w:rPr>
      </w:pPr>
      <w:r>
        <w:rPr>
          <w:rFonts w:cs="Arial"/>
          <w:b/>
        </w:rPr>
        <w:t>Maryland considera desarrollar la eólica offshore pese a que los precios de la generación con gas sean más competitivos</w:t>
      </w:r>
      <w:r w:rsidRPr="00E45A16">
        <w:rPr>
          <w:rFonts w:cs="Arial"/>
        </w:rPr>
        <w:t xml:space="preserve"> y no se espera que se equiparen las renovables a las convencionales hasta 2019. El estado introducirá legislación sobre </w:t>
      </w:r>
      <w:proofErr w:type="spellStart"/>
      <w:r w:rsidRPr="0022566B">
        <w:rPr>
          <w:rFonts w:cs="Arial"/>
          <w:i/>
        </w:rPr>
        <w:t>onshore</w:t>
      </w:r>
      <w:proofErr w:type="spellEnd"/>
      <w:r w:rsidRPr="00E45A16">
        <w:rPr>
          <w:rFonts w:cs="Arial"/>
        </w:rPr>
        <w:t xml:space="preserve"> en enero de 2012 de modo que pueda cumplir con su RPS. </w:t>
      </w:r>
      <w:r>
        <w:rPr>
          <w:rFonts w:cs="Arial"/>
        </w:rPr>
        <w:t xml:space="preserve">Los planes de </w:t>
      </w:r>
      <w:r w:rsidRPr="00E45A16">
        <w:rPr>
          <w:rFonts w:cs="Arial"/>
        </w:rPr>
        <w:t xml:space="preserve">Maryland </w:t>
      </w:r>
      <w:r>
        <w:rPr>
          <w:rFonts w:cs="Arial"/>
        </w:rPr>
        <w:t xml:space="preserve">abarcan la instalación de </w:t>
      </w:r>
      <w:r w:rsidRPr="00E45A16">
        <w:rPr>
          <w:rFonts w:cs="Arial"/>
        </w:rPr>
        <w:t>600</w:t>
      </w:r>
      <w:r w:rsidR="002D3561">
        <w:rPr>
          <w:rFonts w:cs="Arial"/>
        </w:rPr>
        <w:t xml:space="preserve"> </w:t>
      </w:r>
      <w:r w:rsidRPr="00E45A16">
        <w:rPr>
          <w:rFonts w:cs="Arial"/>
        </w:rPr>
        <w:t>MW de eólica. (GPR 29.09)</w:t>
      </w:r>
    </w:p>
    <w:p w:rsidR="000322F5" w:rsidRDefault="000322F5" w:rsidP="005A3112">
      <w:pPr>
        <w:numPr>
          <w:ilvl w:val="0"/>
          <w:numId w:val="8"/>
        </w:numPr>
        <w:spacing w:before="100" w:beforeAutospacing="1" w:line="276" w:lineRule="auto"/>
        <w:ind w:left="284" w:hanging="284"/>
        <w:rPr>
          <w:lang w:val="es-ES_tradnl"/>
        </w:rPr>
      </w:pPr>
      <w:r>
        <w:rPr>
          <w:rFonts w:cs="Arial"/>
          <w:b/>
        </w:rPr>
        <w:t>La CARB aprueba el diseño del sistema de comercio de carbono del Estado:</w:t>
      </w:r>
      <w:r>
        <w:rPr>
          <w:b/>
          <w:lang w:val="es-ES_tradnl"/>
        </w:rPr>
        <w:t xml:space="preserve"> </w:t>
      </w:r>
      <w:r w:rsidRPr="00E0783E">
        <w:rPr>
          <w:lang w:val="es-ES_tradnl"/>
        </w:rPr>
        <w:t xml:space="preserve">California se convertirá en el primer programa a gran escala que regule las emisiones de GEI. Con este sistema se </w:t>
      </w:r>
      <w:r>
        <w:rPr>
          <w:lang w:val="es-ES_tradnl"/>
        </w:rPr>
        <w:t xml:space="preserve">pretende facilitar la reducción de </w:t>
      </w:r>
      <w:r w:rsidRPr="00E0783E">
        <w:rPr>
          <w:lang w:val="es-ES_tradnl"/>
        </w:rPr>
        <w:t xml:space="preserve">las emisiones </w:t>
      </w:r>
      <w:r>
        <w:rPr>
          <w:lang w:val="es-ES_tradnl"/>
        </w:rPr>
        <w:t xml:space="preserve">industriales de GEI </w:t>
      </w:r>
      <w:r w:rsidRPr="00E0783E">
        <w:rPr>
          <w:lang w:val="es-ES_tradnl"/>
        </w:rPr>
        <w:t>en un 15% para 2020. (</w:t>
      </w:r>
      <w:proofErr w:type="spellStart"/>
      <w:r w:rsidRPr="00E0783E">
        <w:rPr>
          <w:lang w:val="es-ES_tradnl"/>
        </w:rPr>
        <w:t>Carbon</w:t>
      </w:r>
      <w:proofErr w:type="spellEnd"/>
      <w:r w:rsidRPr="00E0783E">
        <w:rPr>
          <w:lang w:val="es-ES_tradnl"/>
        </w:rPr>
        <w:t xml:space="preserve"> </w:t>
      </w:r>
      <w:proofErr w:type="spellStart"/>
      <w:r>
        <w:rPr>
          <w:lang w:val="es-ES_tradnl"/>
        </w:rPr>
        <w:t>M</w:t>
      </w:r>
      <w:r w:rsidRPr="00E0783E">
        <w:rPr>
          <w:lang w:val="es-ES_tradnl"/>
        </w:rPr>
        <w:t>arkets</w:t>
      </w:r>
      <w:proofErr w:type="spellEnd"/>
      <w:r w:rsidRPr="00E0783E">
        <w:rPr>
          <w:lang w:val="es-ES_tradnl"/>
        </w:rPr>
        <w:t xml:space="preserve"> 21.10)</w:t>
      </w:r>
    </w:p>
    <w:p w:rsidR="000322F5" w:rsidRDefault="000322F5" w:rsidP="005A3112">
      <w:pPr>
        <w:numPr>
          <w:ilvl w:val="0"/>
          <w:numId w:val="8"/>
        </w:numPr>
        <w:spacing w:before="100" w:beforeAutospacing="1" w:line="276" w:lineRule="auto"/>
        <w:ind w:left="284" w:hanging="284"/>
        <w:rPr>
          <w:lang w:val="es-ES_tradnl"/>
        </w:rPr>
      </w:pPr>
      <w:r>
        <w:rPr>
          <w:rFonts w:cs="Arial"/>
          <w:b/>
        </w:rPr>
        <w:t>FERC da el visto bueno a un programa piloto Cal ISO/BPA de planificación eólica granular:</w:t>
      </w:r>
      <w:r>
        <w:rPr>
          <w:lang w:val="es-ES_tradnl"/>
        </w:rPr>
        <w:t xml:space="preserve"> este programa permitirá que 400</w:t>
      </w:r>
      <w:r w:rsidR="002D3561">
        <w:rPr>
          <w:lang w:val="es-ES_tradnl"/>
        </w:rPr>
        <w:t xml:space="preserve"> </w:t>
      </w:r>
      <w:r>
        <w:rPr>
          <w:lang w:val="es-ES_tradnl"/>
        </w:rPr>
        <w:t>MW de eólica del área de BPA ajusten sus exportaciones a la zona de Cal ISO. (GPR 13.10)</w:t>
      </w:r>
    </w:p>
    <w:p w:rsidR="000322F5" w:rsidRPr="00E0783E" w:rsidRDefault="000322F5" w:rsidP="005A3112">
      <w:pPr>
        <w:numPr>
          <w:ilvl w:val="0"/>
          <w:numId w:val="8"/>
        </w:numPr>
        <w:spacing w:before="100" w:beforeAutospacing="1" w:line="276" w:lineRule="auto"/>
        <w:ind w:left="284" w:hanging="284"/>
        <w:rPr>
          <w:b/>
          <w:lang w:val="es-ES_tradnl"/>
        </w:rPr>
      </w:pPr>
      <w:r>
        <w:rPr>
          <w:rFonts w:cs="Arial"/>
          <w:b/>
        </w:rPr>
        <w:t xml:space="preserve">Según el DOE, su programa de ayudas a las renovables ha desembolsado 9.000 millones USD en dos años: </w:t>
      </w:r>
      <w:r w:rsidRPr="005F3907">
        <w:rPr>
          <w:rFonts w:cs="Arial"/>
        </w:rPr>
        <w:t>El programa 1603 fue creado para subvencionar las renovables mediante ‘</w:t>
      </w:r>
      <w:r w:rsidRPr="005F3907">
        <w:rPr>
          <w:rFonts w:cs="Arial"/>
          <w:i/>
        </w:rPr>
        <w:t xml:space="preserve">cash </w:t>
      </w:r>
      <w:proofErr w:type="spellStart"/>
      <w:r w:rsidRPr="005F3907">
        <w:rPr>
          <w:rFonts w:cs="Arial"/>
          <w:i/>
        </w:rPr>
        <w:t>grant</w:t>
      </w:r>
      <w:proofErr w:type="spellEnd"/>
      <w:r w:rsidRPr="005F3907">
        <w:rPr>
          <w:rFonts w:cs="Arial"/>
        </w:rPr>
        <w:t>’ en vez de ‘</w:t>
      </w:r>
      <w:proofErr w:type="spellStart"/>
      <w:r w:rsidRPr="005F3907">
        <w:rPr>
          <w:rFonts w:cs="Arial"/>
          <w:i/>
        </w:rPr>
        <w:t>tax</w:t>
      </w:r>
      <w:proofErr w:type="spellEnd"/>
      <w:r w:rsidRPr="005F3907">
        <w:rPr>
          <w:rFonts w:cs="Arial"/>
          <w:i/>
        </w:rPr>
        <w:t xml:space="preserve"> </w:t>
      </w:r>
      <w:proofErr w:type="spellStart"/>
      <w:r w:rsidRPr="005F3907">
        <w:rPr>
          <w:rFonts w:cs="Arial"/>
          <w:i/>
        </w:rPr>
        <w:t>credits</w:t>
      </w:r>
      <w:proofErr w:type="spellEnd"/>
      <w:r w:rsidRPr="005F3907">
        <w:rPr>
          <w:rFonts w:cs="Arial"/>
          <w:i/>
        </w:rPr>
        <w:t>’</w:t>
      </w:r>
      <w:r w:rsidRPr="005F3907">
        <w:rPr>
          <w:rFonts w:cs="Arial"/>
        </w:rPr>
        <w:t>. El proyecto cubre 11 tipos de renovables que han supuesto 13.600</w:t>
      </w:r>
      <w:r w:rsidR="002D3561">
        <w:rPr>
          <w:rFonts w:cs="Arial"/>
        </w:rPr>
        <w:t xml:space="preserve"> </w:t>
      </w:r>
      <w:r w:rsidRPr="005F3907">
        <w:rPr>
          <w:rFonts w:cs="Arial"/>
        </w:rPr>
        <w:t>MW. La más beneficiada ha sido la eólica con 7.280</w:t>
      </w:r>
      <w:r>
        <w:rPr>
          <w:rFonts w:cs="Arial"/>
        </w:rPr>
        <w:t xml:space="preserve"> millones </w:t>
      </w:r>
      <w:r w:rsidRPr="009D1837">
        <w:rPr>
          <w:rFonts w:cs="Arial"/>
        </w:rPr>
        <w:t>USD y 12.137</w:t>
      </w:r>
      <w:r w:rsidR="002D3561">
        <w:rPr>
          <w:rFonts w:cs="Arial"/>
        </w:rPr>
        <w:t xml:space="preserve"> </w:t>
      </w:r>
      <w:r w:rsidRPr="009D1837">
        <w:rPr>
          <w:rFonts w:cs="Arial"/>
        </w:rPr>
        <w:t>MW. (GPR 06.10)</w:t>
      </w:r>
    </w:p>
    <w:p w:rsidR="000322F5" w:rsidRDefault="000322F5" w:rsidP="005A3112">
      <w:pPr>
        <w:numPr>
          <w:ilvl w:val="0"/>
          <w:numId w:val="8"/>
        </w:numPr>
        <w:spacing w:before="100" w:beforeAutospacing="1" w:line="276" w:lineRule="auto"/>
        <w:ind w:left="284" w:hanging="284"/>
        <w:rPr>
          <w:lang w:val="es-ES_tradnl"/>
        </w:rPr>
      </w:pPr>
      <w:r>
        <w:rPr>
          <w:rFonts w:cs="Arial"/>
          <w:b/>
        </w:rPr>
        <w:t>Vermont quiere que el 90% de su energía provenga de renovables en 2050.</w:t>
      </w:r>
      <w:r>
        <w:rPr>
          <w:lang w:val="es-ES_tradnl"/>
        </w:rPr>
        <w:t xml:space="preserve"> Vermont, estado que no cuenta con un RPS obligatorio, tiene un RPS voluntario que termina en 2012 y se ha propuesto un nuevo objetivo de RPS del 75% para 2035. En el borrador de su plan energético recientemente presentado elimina el uso de combustibles fósiles para sustituirlos por renovables. En la actualidad las renovables suponen un 23% del total de su energía. (GPR 20.10) </w:t>
      </w:r>
    </w:p>
    <w:p w:rsidR="000322F5" w:rsidRPr="0044379F" w:rsidRDefault="000322F5" w:rsidP="005A3112">
      <w:pPr>
        <w:numPr>
          <w:ilvl w:val="0"/>
          <w:numId w:val="8"/>
        </w:numPr>
        <w:spacing w:before="100" w:beforeAutospacing="1" w:line="276" w:lineRule="auto"/>
        <w:ind w:left="284" w:hanging="284"/>
        <w:rPr>
          <w:rFonts w:cs="Arial"/>
        </w:rPr>
      </w:pPr>
      <w:r>
        <w:rPr>
          <w:rFonts w:cs="Arial"/>
          <w:b/>
        </w:rPr>
        <w:t xml:space="preserve">25 estados le piden a un tribunal federal que posponga el primer estándar nacional de control de emisiones de mercurio de las energéticas de la EPA un año, </w:t>
      </w:r>
      <w:r w:rsidRPr="008A1B4F">
        <w:rPr>
          <w:rFonts w:cs="Arial"/>
        </w:rPr>
        <w:t>al afirmar que el plazo actual fijado por la EPA es insuficiente para analiza</w:t>
      </w:r>
      <w:r>
        <w:rPr>
          <w:rFonts w:cs="Arial"/>
        </w:rPr>
        <w:t>r</w:t>
      </w:r>
      <w:r w:rsidRPr="008A1B4F">
        <w:rPr>
          <w:rFonts w:cs="Arial"/>
        </w:rPr>
        <w:t xml:space="preserve"> los más de 40.</w:t>
      </w:r>
      <w:r w:rsidRPr="008A1B4F">
        <w:rPr>
          <w:lang w:val="es-ES_tradnl"/>
        </w:rPr>
        <w:t xml:space="preserve">000 </w:t>
      </w:r>
      <w:r>
        <w:rPr>
          <w:lang w:val="es-ES_tradnl"/>
        </w:rPr>
        <w:t>comentarios enviados sobre la normativa. Los estados además afirman que la EPA necesita más tiempo para estudiar cómo afectará la norma a la fiabilidad del sistema. (GPR 13.10)</w:t>
      </w:r>
      <w:r w:rsidR="002D3561">
        <w:rPr>
          <w:lang w:val="es-ES_tradnl"/>
        </w:rPr>
        <w:t>.</w:t>
      </w:r>
      <w:r>
        <w:rPr>
          <w:lang w:val="es-ES_tradnl"/>
        </w:rPr>
        <w:t xml:space="preserve"> Con anterioridad, la Cámara de Representantes </w:t>
      </w:r>
      <w:r w:rsidRPr="00C74143">
        <w:rPr>
          <w:rFonts w:cs="Arial"/>
          <w:b/>
        </w:rPr>
        <w:t>aprobó una norma para bloquear la regulación</w:t>
      </w:r>
      <w:r w:rsidRPr="00C74143">
        <w:rPr>
          <w:rFonts w:cs="Arial"/>
        </w:rPr>
        <w:t xml:space="preserve"> </w:t>
      </w:r>
      <w:r w:rsidRPr="00C74143">
        <w:rPr>
          <w:rFonts w:cs="Arial"/>
          <w:b/>
        </w:rPr>
        <w:t>de la EPA</w:t>
      </w:r>
      <w:r>
        <w:rPr>
          <w:rFonts w:cs="Arial"/>
          <w:b/>
        </w:rPr>
        <w:t xml:space="preserve"> (23/09/2011)</w:t>
      </w:r>
      <w:r>
        <w:rPr>
          <w:rFonts w:cs="Arial"/>
        </w:rPr>
        <w:t xml:space="preserve"> </w:t>
      </w:r>
      <w:r w:rsidRPr="00C74143">
        <w:rPr>
          <w:rFonts w:cs="Arial"/>
        </w:rPr>
        <w:t>que oblig</w:t>
      </w:r>
      <w:r>
        <w:rPr>
          <w:rFonts w:cs="Arial"/>
        </w:rPr>
        <w:t>aría</w:t>
      </w:r>
      <w:r w:rsidRPr="00C74143">
        <w:rPr>
          <w:rFonts w:cs="Arial"/>
        </w:rPr>
        <w:t xml:space="preserve"> a la industria a reducir las emisiones </w:t>
      </w:r>
      <w:r>
        <w:rPr>
          <w:rFonts w:cs="Arial"/>
        </w:rPr>
        <w:t>contaminantes, pero la Casa Blanca prometió</w:t>
      </w:r>
      <w:r w:rsidRPr="00C74143">
        <w:rPr>
          <w:rFonts w:cs="Arial"/>
        </w:rPr>
        <w:t xml:space="preserve"> vetar la medida e imponer nuevas normas en su lugar si esta legislaci</w:t>
      </w:r>
      <w:r>
        <w:rPr>
          <w:rFonts w:cs="Arial"/>
        </w:rPr>
        <w:t xml:space="preserve">ón siguiera su curso. </w:t>
      </w:r>
      <w:r w:rsidRPr="005C01FE">
        <w:rPr>
          <w:rFonts w:cs="Arial"/>
          <w:lang w:val="es-ES_tradnl"/>
        </w:rPr>
        <w:t>(trust.org 23.09)</w:t>
      </w:r>
      <w:r w:rsidR="002D3561">
        <w:rPr>
          <w:rFonts w:cs="Arial"/>
          <w:lang w:val="es-ES_tradnl"/>
        </w:rPr>
        <w:t xml:space="preserve"> y</w:t>
      </w:r>
      <w:r w:rsidRPr="005C01FE">
        <w:rPr>
          <w:rFonts w:cs="Arial"/>
          <w:lang w:val="es-ES_tradnl"/>
        </w:rPr>
        <w:t xml:space="preserve"> (GPR 29.09).</w:t>
      </w:r>
      <w:r w:rsidRPr="0044379F">
        <w:rPr>
          <w:rFonts w:cs="Arial"/>
          <w:b/>
        </w:rPr>
        <w:t xml:space="preserve"> </w:t>
      </w:r>
      <w:r>
        <w:rPr>
          <w:rFonts w:cs="Arial"/>
          <w:b/>
        </w:rPr>
        <w:t xml:space="preserve">Por otro lado, siete estados demandan a la EPA por la publicación de la ‘Cross </w:t>
      </w:r>
      <w:proofErr w:type="spellStart"/>
      <w:r>
        <w:rPr>
          <w:rFonts w:cs="Arial"/>
          <w:b/>
        </w:rPr>
        <w:t>State</w:t>
      </w:r>
      <w:proofErr w:type="spellEnd"/>
      <w:r>
        <w:rPr>
          <w:rFonts w:cs="Arial"/>
          <w:b/>
        </w:rPr>
        <w:t xml:space="preserve"> Air </w:t>
      </w:r>
      <w:proofErr w:type="spellStart"/>
      <w:r>
        <w:rPr>
          <w:rFonts w:cs="Arial"/>
          <w:b/>
        </w:rPr>
        <w:t>Pollution</w:t>
      </w:r>
      <w:proofErr w:type="spellEnd"/>
      <w:r>
        <w:rPr>
          <w:rFonts w:cs="Arial"/>
          <w:b/>
        </w:rPr>
        <w:t xml:space="preserve"> Rule’, que sustituirá a la </w:t>
      </w:r>
      <w:proofErr w:type="spellStart"/>
      <w:r w:rsidRPr="00D146B7">
        <w:rPr>
          <w:rFonts w:cs="Arial"/>
          <w:b/>
          <w:i/>
        </w:rPr>
        <w:t>Clean</w:t>
      </w:r>
      <w:proofErr w:type="spellEnd"/>
      <w:r w:rsidRPr="00D146B7">
        <w:rPr>
          <w:rFonts w:cs="Arial"/>
          <w:b/>
          <w:i/>
        </w:rPr>
        <w:t xml:space="preserve"> Air </w:t>
      </w:r>
      <w:proofErr w:type="spellStart"/>
      <w:r w:rsidRPr="00D146B7">
        <w:rPr>
          <w:rFonts w:cs="Arial"/>
          <w:b/>
          <w:i/>
        </w:rPr>
        <w:t>Interstate</w:t>
      </w:r>
      <w:proofErr w:type="spellEnd"/>
      <w:r w:rsidRPr="00D146B7">
        <w:rPr>
          <w:rFonts w:cs="Arial"/>
          <w:b/>
          <w:i/>
        </w:rPr>
        <w:t xml:space="preserve"> Rule 2005</w:t>
      </w:r>
      <w:r>
        <w:rPr>
          <w:rFonts w:cs="Arial"/>
          <w:b/>
        </w:rPr>
        <w:t xml:space="preserve">. </w:t>
      </w:r>
      <w:r w:rsidRPr="00AE7054">
        <w:rPr>
          <w:rFonts w:cs="Arial"/>
        </w:rPr>
        <w:t>Esta norma afectará en enero 2012 a 27 estados y requiere que éstos reduzcan sus emisiones de SO</w:t>
      </w:r>
      <w:r w:rsidRPr="000C14AF">
        <w:rPr>
          <w:rFonts w:cs="Arial"/>
          <w:vertAlign w:val="subscript"/>
        </w:rPr>
        <w:t>2</w:t>
      </w:r>
      <w:r w:rsidRPr="00AE7054">
        <w:rPr>
          <w:rFonts w:cs="Arial"/>
        </w:rPr>
        <w:t xml:space="preserve"> en un 73% y de </w:t>
      </w:r>
      <w:proofErr w:type="spellStart"/>
      <w:r w:rsidRPr="00AE7054">
        <w:rPr>
          <w:rFonts w:cs="Arial"/>
        </w:rPr>
        <w:t>NO</w:t>
      </w:r>
      <w:r w:rsidRPr="000C14AF">
        <w:rPr>
          <w:rFonts w:cs="Arial"/>
          <w:vertAlign w:val="subscript"/>
        </w:rPr>
        <w:t>x</w:t>
      </w:r>
      <w:proofErr w:type="spellEnd"/>
      <w:r w:rsidRPr="00AE7054">
        <w:rPr>
          <w:rFonts w:cs="Arial"/>
        </w:rPr>
        <w:t xml:space="preserve"> en un 54% respecto a los niveles de 2005. Los estados demandantes son Nebraska, Alabama, Florida, Oklahoma, South Carolina, Texas y Virginia</w:t>
      </w:r>
      <w:r>
        <w:rPr>
          <w:rFonts w:cs="Arial"/>
        </w:rPr>
        <w:t xml:space="preserve">, </w:t>
      </w:r>
      <w:r w:rsidRPr="009B7B5B">
        <w:rPr>
          <w:rFonts w:cs="Arial"/>
        </w:rPr>
        <w:t>que alegan motivos como que el coste de modernización de las centrales de carbón es demasiado caro para controlar sólo el 1% de las instalaciones, o que los beneficios de la misma no están demostrados’. (</w:t>
      </w:r>
      <w:r w:rsidRPr="00AE7054">
        <w:rPr>
          <w:rFonts w:cs="Arial"/>
        </w:rPr>
        <w:t>GPR 29.09)</w:t>
      </w:r>
    </w:p>
    <w:p w:rsidR="000322F5" w:rsidRPr="00E0783E" w:rsidRDefault="000322F5" w:rsidP="005A3112">
      <w:pPr>
        <w:numPr>
          <w:ilvl w:val="0"/>
          <w:numId w:val="8"/>
        </w:numPr>
        <w:spacing w:before="100" w:beforeAutospacing="1" w:line="276" w:lineRule="auto"/>
        <w:ind w:left="284" w:hanging="284"/>
        <w:rPr>
          <w:lang w:val="es-ES_tradnl"/>
        </w:rPr>
      </w:pPr>
      <w:r>
        <w:rPr>
          <w:rFonts w:cs="Arial"/>
          <w:b/>
        </w:rPr>
        <w:t>La FERC se plantea excluir a determinados generadores de someterse a la normativa “</w:t>
      </w:r>
      <w:proofErr w:type="spellStart"/>
      <w:r>
        <w:rPr>
          <w:rFonts w:cs="Arial"/>
          <w:b/>
        </w:rPr>
        <w:t>Clean</w:t>
      </w:r>
      <w:proofErr w:type="spellEnd"/>
      <w:r>
        <w:rPr>
          <w:rFonts w:cs="Arial"/>
          <w:b/>
        </w:rPr>
        <w:t xml:space="preserve"> Air” de la EPA para mantener la fiabilidad del sistema.</w:t>
      </w:r>
      <w:r>
        <w:rPr>
          <w:lang w:val="es-ES_tradnl"/>
        </w:rPr>
        <w:t xml:space="preserve"> </w:t>
      </w:r>
      <w:r w:rsidRPr="009B7B5B">
        <w:rPr>
          <w:lang w:val="es-ES_tradnl"/>
        </w:rPr>
        <w:t xml:space="preserve">La FERC está preocupada por si la nueva normativa sobre </w:t>
      </w:r>
      <w:proofErr w:type="spellStart"/>
      <w:r w:rsidRPr="009B7B5B">
        <w:rPr>
          <w:lang w:val="es-ES_tradnl"/>
        </w:rPr>
        <w:t>Clean</w:t>
      </w:r>
      <w:proofErr w:type="spellEnd"/>
      <w:r w:rsidRPr="009B7B5B">
        <w:rPr>
          <w:lang w:val="es-ES_tradnl"/>
        </w:rPr>
        <w:t xml:space="preserve"> Air, y el consecuente cierre de centrales de carbón hará que la fiabilidad del sistema se resienta. La idea es que algunos generadores ‘críticos’ para el sistema tengan</w:t>
      </w:r>
      <w:r>
        <w:rPr>
          <w:lang w:val="es-ES_tradnl"/>
        </w:rPr>
        <w:t xml:space="preserve"> determinadas excepciones en la aplicación de las normas de la EPA. (GPR 27.10)</w:t>
      </w:r>
      <w:r w:rsidR="002D3561">
        <w:rPr>
          <w:lang w:val="es-ES_tradnl"/>
        </w:rPr>
        <w:t xml:space="preserve"> y </w:t>
      </w:r>
      <w:r>
        <w:rPr>
          <w:lang w:val="es-ES_tradnl"/>
        </w:rPr>
        <w:t>(</w:t>
      </w:r>
      <w:proofErr w:type="spellStart"/>
      <w:r>
        <w:rPr>
          <w:lang w:val="es-ES_tradnl"/>
        </w:rPr>
        <w:t>Smartgrid</w:t>
      </w:r>
      <w:proofErr w:type="spellEnd"/>
      <w:r>
        <w:rPr>
          <w:lang w:val="es-ES_tradnl"/>
        </w:rPr>
        <w:t xml:space="preserve"> legal </w:t>
      </w:r>
      <w:proofErr w:type="spellStart"/>
      <w:r>
        <w:rPr>
          <w:lang w:val="es-ES_tradnl"/>
        </w:rPr>
        <w:t>news</w:t>
      </w:r>
      <w:proofErr w:type="spellEnd"/>
      <w:r>
        <w:rPr>
          <w:lang w:val="es-ES_tradnl"/>
        </w:rPr>
        <w:t>, 19.10)</w:t>
      </w:r>
    </w:p>
    <w:p w:rsidR="000322F5" w:rsidRPr="000E1CC6" w:rsidRDefault="000322F5" w:rsidP="00600C49">
      <w:pPr>
        <w:pStyle w:val="Ttulo3"/>
      </w:pPr>
      <w:r w:rsidRPr="000E1CC6">
        <w:t>Norteamérica – Tarifas, precios y protección al consumidor</w:t>
      </w:r>
    </w:p>
    <w:p w:rsidR="000322F5" w:rsidRDefault="000322F5" w:rsidP="005A3112">
      <w:pPr>
        <w:numPr>
          <w:ilvl w:val="0"/>
          <w:numId w:val="9"/>
        </w:numPr>
        <w:spacing w:before="100" w:beforeAutospacing="1" w:line="276" w:lineRule="auto"/>
        <w:ind w:left="284" w:hanging="284"/>
        <w:rPr>
          <w:rFonts w:cs="Arial"/>
        </w:rPr>
      </w:pPr>
      <w:r>
        <w:rPr>
          <w:rFonts w:cs="Arial"/>
          <w:b/>
        </w:rPr>
        <w:t xml:space="preserve">La PSUC de Michigan aprueba el Plan Energético de </w:t>
      </w:r>
      <w:proofErr w:type="spellStart"/>
      <w:r w:rsidRPr="000F5EA6">
        <w:rPr>
          <w:rFonts w:cs="Arial"/>
          <w:b/>
          <w:i/>
        </w:rPr>
        <w:t>Consumers</w:t>
      </w:r>
      <w:proofErr w:type="spellEnd"/>
      <w:r w:rsidRPr="000F5EA6">
        <w:rPr>
          <w:rFonts w:cs="Arial"/>
          <w:b/>
          <w:i/>
        </w:rPr>
        <w:t xml:space="preserve"> </w:t>
      </w:r>
      <w:proofErr w:type="spellStart"/>
      <w:r w:rsidRPr="000F5EA6">
        <w:rPr>
          <w:rFonts w:cs="Arial"/>
          <w:b/>
          <w:i/>
        </w:rPr>
        <w:t>Energy</w:t>
      </w:r>
      <w:proofErr w:type="spellEnd"/>
      <w:r>
        <w:rPr>
          <w:rFonts w:cs="Arial"/>
          <w:b/>
        </w:rPr>
        <w:t xml:space="preserve">, la mayor suministradora de Michigan por el cual ahorrará a sus 1,8 millones de clientes unos 54 millones USD al año </w:t>
      </w:r>
      <w:r w:rsidRPr="000F5EA6">
        <w:rPr>
          <w:rFonts w:cs="Arial"/>
        </w:rPr>
        <w:t>(22</w:t>
      </w:r>
      <w:r w:rsidR="002D3561">
        <w:rPr>
          <w:rFonts w:cs="Arial"/>
        </w:rPr>
        <w:t xml:space="preserve"> </w:t>
      </w:r>
      <w:r w:rsidRPr="000F5EA6">
        <w:rPr>
          <w:rFonts w:cs="Arial"/>
        </w:rPr>
        <w:t>USD/año pa</w:t>
      </w:r>
      <w:r>
        <w:rPr>
          <w:rFonts w:cs="Arial"/>
        </w:rPr>
        <w:t xml:space="preserve">ra un cliente doméstico). La publicación de su nuevo plan energético (que mantiene el objetivo de que el 10% de su energía provenga de renovables) refleja las mejoras en las turbinas eólicas, el desarrollo de los parques eólicos y la ampliación de los </w:t>
      </w:r>
      <w:proofErr w:type="spellStart"/>
      <w:r>
        <w:rPr>
          <w:rFonts w:cs="Arial"/>
        </w:rPr>
        <w:t>PTCs</w:t>
      </w:r>
      <w:proofErr w:type="spellEnd"/>
      <w:r>
        <w:rPr>
          <w:rFonts w:cs="Arial"/>
        </w:rPr>
        <w:t xml:space="preserve">, lo cual llevará a una </w:t>
      </w:r>
      <w:r w:rsidRPr="000F5EA6">
        <w:rPr>
          <w:rFonts w:cs="Arial"/>
        </w:rPr>
        <w:t xml:space="preserve">reducción de costes debido </w:t>
      </w:r>
      <w:r w:rsidRPr="009B7B5B">
        <w:rPr>
          <w:rFonts w:cs="Arial"/>
        </w:rPr>
        <w:t>a las mejoras en las condiciones económicas de la energía eólica</w:t>
      </w:r>
      <w:r>
        <w:rPr>
          <w:rFonts w:cs="Arial"/>
        </w:rPr>
        <w:t xml:space="preserve"> para este suministrador</w:t>
      </w:r>
      <w:r w:rsidRPr="009B7B5B">
        <w:rPr>
          <w:rFonts w:cs="Arial"/>
        </w:rPr>
        <w:t>.</w:t>
      </w:r>
      <w:r w:rsidRPr="000F5EA6">
        <w:rPr>
          <w:rFonts w:cs="Arial"/>
        </w:rPr>
        <w:t xml:space="preserve"> L</w:t>
      </w:r>
      <w:r>
        <w:rPr>
          <w:rFonts w:cs="Arial"/>
        </w:rPr>
        <w:t>a</w:t>
      </w:r>
      <w:r w:rsidRPr="000F5EA6">
        <w:rPr>
          <w:rFonts w:cs="Arial"/>
        </w:rPr>
        <w:t xml:space="preserve"> compañía desarrollará además el parque eólico de 100</w:t>
      </w:r>
      <w:r w:rsidR="002D3561">
        <w:rPr>
          <w:rFonts w:cs="Arial"/>
        </w:rPr>
        <w:t xml:space="preserve"> </w:t>
      </w:r>
      <w:r w:rsidRPr="000F5EA6">
        <w:rPr>
          <w:rFonts w:cs="Arial"/>
        </w:rPr>
        <w:t xml:space="preserve">MW Lake </w:t>
      </w:r>
      <w:proofErr w:type="spellStart"/>
      <w:r w:rsidRPr="000F5EA6">
        <w:rPr>
          <w:rFonts w:cs="Arial"/>
        </w:rPr>
        <w:t>Winds</w:t>
      </w:r>
      <w:proofErr w:type="spellEnd"/>
      <w:r w:rsidRPr="000F5EA6">
        <w:rPr>
          <w:rFonts w:cs="Arial"/>
        </w:rPr>
        <w:t>, que estará operativo en 2012. (</w:t>
      </w:r>
      <w:proofErr w:type="spellStart"/>
      <w:r w:rsidRPr="000F5EA6">
        <w:rPr>
          <w:rFonts w:cs="Arial"/>
        </w:rPr>
        <w:t>Energy</w:t>
      </w:r>
      <w:proofErr w:type="spellEnd"/>
      <w:r w:rsidRPr="000F5EA6">
        <w:rPr>
          <w:rFonts w:cs="Arial"/>
        </w:rPr>
        <w:t xml:space="preserve"> </w:t>
      </w:r>
      <w:proofErr w:type="spellStart"/>
      <w:r w:rsidRPr="000F5EA6">
        <w:rPr>
          <w:rFonts w:cs="Arial"/>
        </w:rPr>
        <w:t>Market</w:t>
      </w:r>
      <w:proofErr w:type="spellEnd"/>
      <w:r w:rsidRPr="000F5EA6">
        <w:rPr>
          <w:rFonts w:cs="Arial"/>
        </w:rPr>
        <w:t xml:space="preserve"> Price, 12.09</w:t>
      </w:r>
      <w:r>
        <w:rPr>
          <w:rFonts w:cs="Arial"/>
        </w:rPr>
        <w:t>, CBS Detroit 07.09)</w:t>
      </w:r>
      <w:r w:rsidRPr="000F5EA6">
        <w:rPr>
          <w:rFonts w:cs="Arial"/>
        </w:rPr>
        <w:t>.</w:t>
      </w:r>
    </w:p>
    <w:p w:rsidR="000322F5" w:rsidRDefault="000322F5" w:rsidP="005A3112">
      <w:pPr>
        <w:numPr>
          <w:ilvl w:val="0"/>
          <w:numId w:val="9"/>
        </w:numPr>
        <w:spacing w:before="100" w:beforeAutospacing="1" w:line="276" w:lineRule="auto"/>
        <w:ind w:left="284" w:hanging="284"/>
        <w:rPr>
          <w:rFonts w:cs="Arial"/>
        </w:rPr>
      </w:pPr>
      <w:r>
        <w:rPr>
          <w:rFonts w:cs="Arial"/>
          <w:b/>
        </w:rPr>
        <w:t>Los reguladores de Nueva Inglaterra solicitan a la FERC que reduzca las tarifas de transporte cargadas a los clientes finales</w:t>
      </w:r>
      <w:r w:rsidRPr="00FA6D66">
        <w:rPr>
          <w:rFonts w:cs="Arial"/>
        </w:rPr>
        <w:t>. (GPR 06.10)</w:t>
      </w:r>
    </w:p>
    <w:p w:rsidR="000322F5" w:rsidRPr="00BE08CE" w:rsidRDefault="000322F5" w:rsidP="005A3112">
      <w:pPr>
        <w:numPr>
          <w:ilvl w:val="0"/>
          <w:numId w:val="9"/>
        </w:numPr>
        <w:spacing w:before="100" w:beforeAutospacing="1" w:line="276" w:lineRule="auto"/>
        <w:ind w:left="284" w:hanging="284"/>
        <w:rPr>
          <w:rFonts w:cs="Arial"/>
        </w:rPr>
      </w:pPr>
      <w:r w:rsidRPr="000E55E7">
        <w:rPr>
          <w:rFonts w:cs="Arial"/>
          <w:b/>
        </w:rPr>
        <w:t>Un miembro de la California PUC advierte de una subida de los precios de electricidad en un 50% entre 2010 y 2020</w:t>
      </w:r>
      <w:r>
        <w:rPr>
          <w:rFonts w:cs="Arial"/>
          <w:b/>
        </w:rPr>
        <w:t xml:space="preserve"> </w:t>
      </w:r>
      <w:r>
        <w:rPr>
          <w:rFonts w:cs="Arial"/>
        </w:rPr>
        <w:t>por las inversiones en mejora de redes de transporte y distribución. Éstas se estiman en 7.200 millones</w:t>
      </w:r>
      <w:r w:rsidR="002D3561">
        <w:rPr>
          <w:rFonts w:cs="Arial"/>
        </w:rPr>
        <w:t xml:space="preserve"> </w:t>
      </w:r>
      <w:r>
        <w:rPr>
          <w:rFonts w:cs="Arial"/>
        </w:rPr>
        <w:t>USD para los próximos años. (GPR 13.10)</w:t>
      </w:r>
    </w:p>
    <w:p w:rsidR="000322F5" w:rsidRDefault="000322F5" w:rsidP="00600C49">
      <w:pPr>
        <w:pStyle w:val="Ttulo3"/>
        <w:rPr>
          <w:lang w:val="es-ES_tradnl"/>
        </w:rPr>
      </w:pPr>
      <w:r>
        <w:rPr>
          <w:lang w:val="es-ES_tradnl"/>
        </w:rPr>
        <w:t>Norteamérica – Redes y Garantía de suministro</w:t>
      </w:r>
    </w:p>
    <w:p w:rsidR="000322F5" w:rsidRPr="00600C49" w:rsidRDefault="000322F5" w:rsidP="005A3112">
      <w:pPr>
        <w:numPr>
          <w:ilvl w:val="0"/>
          <w:numId w:val="10"/>
        </w:numPr>
        <w:spacing w:before="100" w:beforeAutospacing="1" w:line="276" w:lineRule="auto"/>
        <w:ind w:left="284" w:hanging="284"/>
        <w:rPr>
          <w:rFonts w:asciiTheme="minorHAnsi" w:hAnsiTheme="minorHAnsi" w:cs="Arial"/>
        </w:rPr>
      </w:pPr>
      <w:r w:rsidRPr="00600C49">
        <w:rPr>
          <w:rFonts w:asciiTheme="minorHAnsi" w:hAnsiTheme="minorHAnsi" w:cs="Arial"/>
          <w:b/>
        </w:rPr>
        <w:t>La Texas PUC podría implementar en breve normativa para simplificar la incorporación de instalaciones de almacenamiento energético en el mercado mayorista de ERCOT</w:t>
      </w:r>
      <w:r w:rsidRPr="00600C49">
        <w:rPr>
          <w:rFonts w:asciiTheme="minorHAnsi" w:hAnsiTheme="minorHAnsi" w:cs="Arial"/>
        </w:rPr>
        <w:t>. De este modo, las instalaciones de almacenamiento se clasificarían como generadores, por lo que su conexión a la red se simplificaría y podrían participar en el mercado mayorista como proveedores de servicios complementarios. (GPR 06.10)</w:t>
      </w:r>
    </w:p>
    <w:p w:rsidR="000322F5" w:rsidRPr="00600C49" w:rsidRDefault="000322F5" w:rsidP="005A3112">
      <w:pPr>
        <w:numPr>
          <w:ilvl w:val="0"/>
          <w:numId w:val="10"/>
        </w:numPr>
        <w:spacing w:before="100" w:beforeAutospacing="1" w:line="276" w:lineRule="auto"/>
        <w:ind w:left="284" w:hanging="284"/>
        <w:rPr>
          <w:rFonts w:asciiTheme="minorHAnsi" w:hAnsiTheme="minorHAnsi" w:cs="Arial"/>
        </w:rPr>
      </w:pPr>
      <w:r w:rsidRPr="00600C49">
        <w:rPr>
          <w:rFonts w:asciiTheme="minorHAnsi" w:hAnsiTheme="minorHAnsi"/>
          <w:b/>
          <w:lang w:val="es-ES_tradnl"/>
        </w:rPr>
        <w:t xml:space="preserve">BPA estudia mejorar la integración de la eólica en la red de transporte </w:t>
      </w:r>
      <w:r w:rsidRPr="00600C49">
        <w:rPr>
          <w:rFonts w:asciiTheme="minorHAnsi" w:hAnsiTheme="minorHAnsi"/>
          <w:lang w:val="es-ES_tradnl"/>
        </w:rPr>
        <w:t xml:space="preserve">de modo que los productores de eólica puedan firmar acuerdos con otros generadores para producir energía bajo demanda como un ‘servicio suplementario’ cuando BPA experimente caídas inesperadas en la generación eólica. (GPR 01.09) </w:t>
      </w:r>
    </w:p>
    <w:p w:rsidR="000322F5" w:rsidRPr="00600C49" w:rsidRDefault="000322F5" w:rsidP="005A3112">
      <w:pPr>
        <w:numPr>
          <w:ilvl w:val="0"/>
          <w:numId w:val="10"/>
        </w:numPr>
        <w:spacing w:before="100" w:beforeAutospacing="1" w:line="276" w:lineRule="auto"/>
        <w:ind w:left="284" w:hanging="284"/>
        <w:rPr>
          <w:rFonts w:asciiTheme="minorHAnsi" w:hAnsiTheme="minorHAnsi" w:cs="Arial"/>
        </w:rPr>
      </w:pPr>
      <w:r w:rsidRPr="00600C49">
        <w:rPr>
          <w:rFonts w:asciiTheme="minorHAnsi" w:hAnsiTheme="minorHAnsi" w:cs="Arial"/>
        </w:rPr>
        <w:t>En septiembre</w:t>
      </w:r>
      <w:r w:rsidRPr="00600C49">
        <w:rPr>
          <w:rFonts w:asciiTheme="minorHAnsi" w:hAnsiTheme="minorHAnsi" w:cs="Arial"/>
          <w:b/>
        </w:rPr>
        <w:t xml:space="preserve"> el DOE propuso transferir a la FERC el desarrollo de los estudios de congestión y el desarrollo de los corredores de transporte de interés nacional, </w:t>
      </w:r>
      <w:r w:rsidRPr="00600C49">
        <w:rPr>
          <w:rFonts w:asciiTheme="minorHAnsi" w:hAnsiTheme="minorHAnsi" w:cs="Arial"/>
        </w:rPr>
        <w:t xml:space="preserve">incluida su autorización para aprobar los proyectos interestatales que llevasen retraso. </w:t>
      </w:r>
      <w:r w:rsidRPr="00600C49">
        <w:rPr>
          <w:rFonts w:asciiTheme="minorHAnsi" w:hAnsiTheme="minorHAnsi" w:cs="Arial"/>
          <w:b/>
        </w:rPr>
        <w:t xml:space="preserve">Finalmente, </w:t>
      </w:r>
      <w:r w:rsidRPr="00600C49">
        <w:rPr>
          <w:rFonts w:asciiTheme="minorHAnsi" w:hAnsiTheme="minorHAnsi" w:cs="Arial"/>
        </w:rPr>
        <w:t>tras el rechazo de varios senadores y estados,</w:t>
      </w:r>
      <w:r w:rsidRPr="00600C49">
        <w:rPr>
          <w:rFonts w:asciiTheme="minorHAnsi" w:hAnsiTheme="minorHAnsi" w:cs="Arial"/>
          <w:b/>
        </w:rPr>
        <w:t xml:space="preserve"> el DOE ha dado marcha atrás, </w:t>
      </w:r>
      <w:r w:rsidRPr="00600C49">
        <w:rPr>
          <w:rFonts w:asciiTheme="minorHAnsi" w:hAnsiTheme="minorHAnsi" w:cs="Arial"/>
        </w:rPr>
        <w:t>por lo que el DOE trabajará más estrechamente con la FERC en la elaboración de estudios sobre congestiones y la revisión de los proyectos de transporte propuestos. (GPR 16.10).</w:t>
      </w:r>
    </w:p>
    <w:p w:rsidR="000322F5" w:rsidRPr="00600C49" w:rsidRDefault="000322F5" w:rsidP="005A3112">
      <w:pPr>
        <w:numPr>
          <w:ilvl w:val="0"/>
          <w:numId w:val="10"/>
        </w:numPr>
        <w:spacing w:before="100" w:beforeAutospacing="1" w:line="276" w:lineRule="auto"/>
        <w:ind w:left="284" w:hanging="284"/>
        <w:rPr>
          <w:rFonts w:asciiTheme="minorHAnsi" w:hAnsiTheme="minorHAnsi" w:cs="Arial"/>
        </w:rPr>
      </w:pPr>
      <w:r w:rsidRPr="00600C49">
        <w:rPr>
          <w:rFonts w:asciiTheme="minorHAnsi" w:hAnsiTheme="minorHAnsi" w:cs="Arial"/>
          <w:b/>
        </w:rPr>
        <w:t xml:space="preserve">La Casa Blanca apoya el desarrollo de 7 proyectos de transporte seleccionados como parte de un proyecto piloto federal para acelerar los permisos para las mejoras en la red. </w:t>
      </w:r>
      <w:r w:rsidRPr="00600C49">
        <w:rPr>
          <w:rFonts w:asciiTheme="minorHAnsi" w:hAnsiTheme="minorHAnsi" w:cs="Arial"/>
        </w:rPr>
        <w:t xml:space="preserve">Los proyectos se reparten entre 12 estados (Arizona, Colorado, Idaho, Minnesota, New </w:t>
      </w:r>
      <w:proofErr w:type="spellStart"/>
      <w:r w:rsidRPr="00600C49">
        <w:rPr>
          <w:rFonts w:asciiTheme="minorHAnsi" w:hAnsiTheme="minorHAnsi" w:cs="Arial"/>
        </w:rPr>
        <w:t>Mexico</w:t>
      </w:r>
      <w:proofErr w:type="spellEnd"/>
      <w:r w:rsidRPr="00600C49">
        <w:rPr>
          <w:rFonts w:asciiTheme="minorHAnsi" w:hAnsiTheme="minorHAnsi" w:cs="Arial"/>
        </w:rPr>
        <w:t xml:space="preserve">, Nevada, Wyoming, Utah, New Jersey, Pennsylvania, </w:t>
      </w:r>
      <w:proofErr w:type="spellStart"/>
      <w:r w:rsidRPr="00600C49">
        <w:rPr>
          <w:rFonts w:asciiTheme="minorHAnsi" w:hAnsiTheme="minorHAnsi" w:cs="Arial"/>
        </w:rPr>
        <w:t>Oregon</w:t>
      </w:r>
      <w:proofErr w:type="spellEnd"/>
      <w:r w:rsidRPr="00600C49">
        <w:rPr>
          <w:rFonts w:asciiTheme="minorHAnsi" w:hAnsiTheme="minorHAnsi" w:cs="Arial"/>
        </w:rPr>
        <w:t xml:space="preserve"> y Wisconsin) y están en distintas fases de desarrollo. La Casa Blanca espera usar estos proyectos como ejemplo para mejorar la coordinación y comunicación entre agencias además de para reducir costes. (upi.com 05.10)</w:t>
      </w:r>
      <w:r w:rsidR="002D3561">
        <w:rPr>
          <w:rFonts w:asciiTheme="minorHAnsi" w:hAnsiTheme="minorHAnsi" w:cs="Arial"/>
        </w:rPr>
        <w:t xml:space="preserve"> y </w:t>
      </w:r>
      <w:r w:rsidRPr="00600C49">
        <w:rPr>
          <w:rFonts w:asciiTheme="minorHAnsi" w:hAnsiTheme="minorHAnsi" w:cs="Arial"/>
        </w:rPr>
        <w:t>(GPR 06.10)</w:t>
      </w:r>
    </w:p>
    <w:p w:rsidR="000322F5" w:rsidRPr="00600C49" w:rsidRDefault="000322F5" w:rsidP="005A3112">
      <w:pPr>
        <w:numPr>
          <w:ilvl w:val="0"/>
          <w:numId w:val="10"/>
        </w:numPr>
        <w:spacing w:before="100" w:beforeAutospacing="1" w:line="276" w:lineRule="auto"/>
        <w:ind w:left="284" w:hanging="284"/>
        <w:rPr>
          <w:rFonts w:asciiTheme="minorHAnsi" w:hAnsiTheme="minorHAnsi" w:cs="Arial"/>
        </w:rPr>
      </w:pPr>
      <w:r w:rsidRPr="00600C49">
        <w:rPr>
          <w:rFonts w:asciiTheme="minorHAnsi" w:hAnsiTheme="minorHAnsi" w:cs="Arial"/>
          <w:b/>
        </w:rPr>
        <w:t xml:space="preserve">La FERC aprueba el nuevo método de asignación de precios de redes de California ISO: </w:t>
      </w:r>
      <w:r w:rsidRPr="00600C49">
        <w:rPr>
          <w:rFonts w:asciiTheme="minorHAnsi" w:hAnsiTheme="minorHAnsi" w:cs="Arial"/>
        </w:rPr>
        <w:t>la nueva propuesta se ajusta más a la asignación de costes del mercado nodal aplicado en otras zonas. La nueva normativa reduce las categorías de precios por los servicios de 7 a 3. El 27% corresponderán a servicios de mercado, 69% a operaciones de red y 4% a congestiones (GPR 06.10)</w:t>
      </w:r>
    </w:p>
    <w:p w:rsidR="000322F5" w:rsidRPr="00600C49" w:rsidRDefault="000322F5" w:rsidP="005A3112">
      <w:pPr>
        <w:numPr>
          <w:ilvl w:val="0"/>
          <w:numId w:val="10"/>
        </w:numPr>
        <w:spacing w:before="100" w:beforeAutospacing="1" w:line="276" w:lineRule="auto"/>
        <w:ind w:left="284" w:hanging="284"/>
        <w:rPr>
          <w:rFonts w:asciiTheme="minorHAnsi" w:hAnsiTheme="minorHAnsi" w:cs="Arial"/>
        </w:rPr>
      </w:pPr>
      <w:r w:rsidRPr="00600C49">
        <w:rPr>
          <w:rFonts w:asciiTheme="minorHAnsi" w:hAnsiTheme="minorHAnsi" w:cs="Arial"/>
          <w:b/>
        </w:rPr>
        <w:t xml:space="preserve">La FERC mantiene los sistemas de planificación de transporte y asignación de costes propuestos por los gestores de red MISO y SPP. </w:t>
      </w:r>
      <w:r w:rsidRPr="00600C49">
        <w:rPr>
          <w:rFonts w:asciiTheme="minorHAnsi" w:hAnsiTheme="minorHAnsi" w:cs="Arial"/>
        </w:rPr>
        <w:t>SPP repartirá el precio de las nuevas instalaciones de más de 300kV entre todos los miembros en función de su impacto. En el caso de MISO, aprueba una nueva categoría de proyectos de transporte “</w:t>
      </w:r>
      <w:proofErr w:type="spellStart"/>
      <w:r w:rsidRPr="00600C49">
        <w:rPr>
          <w:rFonts w:asciiTheme="minorHAnsi" w:hAnsiTheme="minorHAnsi" w:cs="Arial"/>
          <w:i/>
        </w:rPr>
        <w:t>multi-value</w:t>
      </w:r>
      <w:proofErr w:type="spellEnd"/>
      <w:r w:rsidRPr="00600C49">
        <w:rPr>
          <w:rFonts w:asciiTheme="minorHAnsi" w:hAnsiTheme="minorHAnsi" w:cs="Arial"/>
          <w:i/>
        </w:rPr>
        <w:t xml:space="preserve"> </w:t>
      </w:r>
      <w:proofErr w:type="spellStart"/>
      <w:r w:rsidRPr="00600C49">
        <w:rPr>
          <w:rFonts w:asciiTheme="minorHAnsi" w:hAnsiTheme="minorHAnsi" w:cs="Arial"/>
          <w:i/>
        </w:rPr>
        <w:t>projects</w:t>
      </w:r>
      <w:proofErr w:type="spellEnd"/>
      <w:r w:rsidRPr="00600C49">
        <w:rPr>
          <w:rFonts w:asciiTheme="minorHAnsi" w:hAnsiTheme="minorHAnsi" w:cs="Arial"/>
        </w:rPr>
        <w:t xml:space="preserve">” para los que se aplica el reparto de costes regional. (GPR 27.10) </w:t>
      </w:r>
    </w:p>
    <w:p w:rsidR="000322F5" w:rsidRPr="00600C49" w:rsidRDefault="000322F5" w:rsidP="005A3112">
      <w:pPr>
        <w:numPr>
          <w:ilvl w:val="0"/>
          <w:numId w:val="10"/>
        </w:numPr>
        <w:spacing w:before="100" w:beforeAutospacing="1" w:line="276" w:lineRule="auto"/>
        <w:ind w:left="284" w:hanging="284"/>
        <w:rPr>
          <w:rFonts w:asciiTheme="minorHAnsi" w:hAnsiTheme="minorHAnsi" w:cs="Arial"/>
        </w:rPr>
      </w:pPr>
      <w:r w:rsidRPr="00600C49">
        <w:rPr>
          <w:rFonts w:asciiTheme="minorHAnsi" w:hAnsiTheme="minorHAnsi" w:cs="Arial"/>
          <w:b/>
        </w:rPr>
        <w:t xml:space="preserve">ISO New </w:t>
      </w:r>
      <w:proofErr w:type="spellStart"/>
      <w:r w:rsidRPr="00600C49">
        <w:rPr>
          <w:rFonts w:asciiTheme="minorHAnsi" w:hAnsiTheme="minorHAnsi" w:cs="Arial"/>
          <w:b/>
        </w:rPr>
        <w:t>England</w:t>
      </w:r>
      <w:proofErr w:type="spellEnd"/>
      <w:r w:rsidRPr="00600C49">
        <w:rPr>
          <w:rFonts w:asciiTheme="minorHAnsi" w:hAnsiTheme="minorHAnsi" w:cs="Arial"/>
          <w:b/>
        </w:rPr>
        <w:t xml:space="preserve"> </w:t>
      </w:r>
      <w:r w:rsidRPr="002D3561">
        <w:rPr>
          <w:b/>
        </w:rPr>
        <w:t>estima</w:t>
      </w:r>
      <w:r w:rsidRPr="002D3561">
        <w:rPr>
          <w:rFonts w:asciiTheme="minorHAnsi" w:hAnsiTheme="minorHAnsi" w:cs="Arial"/>
          <w:b/>
        </w:rPr>
        <w:t xml:space="preserve"> </w:t>
      </w:r>
      <w:r w:rsidRPr="00600C49">
        <w:rPr>
          <w:rFonts w:asciiTheme="minorHAnsi" w:hAnsiTheme="minorHAnsi" w:cs="Arial"/>
          <w:b/>
        </w:rPr>
        <w:t>que la demanda crecerá un 1,1% anualmente los próximos 10 años.</w:t>
      </w:r>
      <w:r w:rsidRPr="00600C49">
        <w:rPr>
          <w:rFonts w:asciiTheme="minorHAnsi" w:hAnsiTheme="minorHAnsi" w:cs="Arial"/>
        </w:rPr>
        <w:t xml:space="preserve"> La demanda ha sido estimada en función del crecimiento económico que se espera aumente a partir de 2013. –se espera que la nueva capacidad instalada  crezca de 32.127</w:t>
      </w:r>
      <w:r w:rsidR="002D3561">
        <w:rPr>
          <w:rFonts w:asciiTheme="minorHAnsi" w:hAnsiTheme="minorHAnsi" w:cs="Arial"/>
        </w:rPr>
        <w:t xml:space="preserve"> </w:t>
      </w:r>
      <w:r w:rsidRPr="00600C49">
        <w:rPr>
          <w:rFonts w:asciiTheme="minorHAnsi" w:hAnsiTheme="minorHAnsi" w:cs="Arial"/>
        </w:rPr>
        <w:t>MW en 2013 a 35.635 en 2020, además de una expansión en las redes de transporte. (GPR 27.10)</w:t>
      </w:r>
    </w:p>
    <w:p w:rsidR="000322F5" w:rsidRDefault="000322F5" w:rsidP="00600C49">
      <w:pPr>
        <w:pStyle w:val="Ttulo3"/>
        <w:rPr>
          <w:lang w:val="es-ES_tradnl"/>
        </w:rPr>
      </w:pPr>
      <w:r>
        <w:rPr>
          <w:lang w:val="es-ES_tradnl"/>
        </w:rPr>
        <w:t>Norteamérica – Mercados</w:t>
      </w:r>
    </w:p>
    <w:p w:rsidR="000322F5" w:rsidRPr="00FF6B51" w:rsidRDefault="000322F5" w:rsidP="005A3112">
      <w:pPr>
        <w:numPr>
          <w:ilvl w:val="0"/>
          <w:numId w:val="11"/>
        </w:numPr>
        <w:spacing w:before="100" w:beforeAutospacing="1" w:line="276" w:lineRule="auto"/>
        <w:ind w:left="284" w:hanging="284"/>
        <w:rPr>
          <w:rFonts w:cs="Arial"/>
        </w:rPr>
      </w:pPr>
      <w:r>
        <w:rPr>
          <w:b/>
        </w:rPr>
        <w:t xml:space="preserve">Varias empresas de Texas empiezan a negociar PPA a largo plazo con generadores de eólica </w:t>
      </w:r>
      <w:r w:rsidRPr="00F57230">
        <w:t xml:space="preserve">ya que sus precios a largo plazo son igual de favorables que los de la generación </w:t>
      </w:r>
      <w:r>
        <w:t xml:space="preserve">con gas. </w:t>
      </w:r>
      <w:r w:rsidRPr="00F57230">
        <w:t>Además</w:t>
      </w:r>
      <w:r w:rsidR="002D3561">
        <w:t>,</w:t>
      </w:r>
      <w:r w:rsidRPr="00F57230">
        <w:t xml:space="preserve"> el precio </w:t>
      </w:r>
      <w:r>
        <w:t xml:space="preserve">ofertado para </w:t>
      </w:r>
      <w:r w:rsidRPr="00F57230">
        <w:t xml:space="preserve">la eólica </w:t>
      </w:r>
      <w:r>
        <w:t xml:space="preserve">está exento de las fluctuaciones inducidas por la materia prima en el caso del </w:t>
      </w:r>
      <w:r w:rsidRPr="00F57230">
        <w:t>gas. (GPR 01.09)</w:t>
      </w:r>
      <w:r w:rsidRPr="00FF6B51">
        <w:rPr>
          <w:rFonts w:cs="Arial"/>
          <w:b/>
        </w:rPr>
        <w:t xml:space="preserve"> </w:t>
      </w:r>
    </w:p>
    <w:p w:rsidR="000322F5" w:rsidRPr="00FA6D66" w:rsidRDefault="000322F5" w:rsidP="005A3112">
      <w:pPr>
        <w:numPr>
          <w:ilvl w:val="0"/>
          <w:numId w:val="11"/>
        </w:numPr>
        <w:spacing w:before="100" w:beforeAutospacing="1" w:line="276" w:lineRule="auto"/>
        <w:ind w:left="284" w:hanging="284"/>
      </w:pPr>
      <w:r w:rsidRPr="00FA6D66">
        <w:rPr>
          <w:b/>
        </w:rPr>
        <w:t>NYISO estudia introducir un mercado de capacidad de futuros a largo plazo</w:t>
      </w:r>
      <w:r w:rsidRPr="00FA6D66">
        <w:t xml:space="preserve">. Los mercados de capacidad a corto plazo ya funcionan en NYISO, pero </w:t>
      </w:r>
      <w:r>
        <w:t>está en discusión si proporcionan</w:t>
      </w:r>
      <w:r w:rsidRPr="00FA6D66">
        <w:t xml:space="preserve"> </w:t>
      </w:r>
      <w:r>
        <w:t xml:space="preserve">una señal suficientemente robusta de </w:t>
      </w:r>
      <w:r w:rsidRPr="00FA6D66">
        <w:t xml:space="preserve">ingresos a los generadores </w:t>
      </w:r>
      <w:r>
        <w:t xml:space="preserve">para inducir </w:t>
      </w:r>
      <w:r w:rsidRPr="00FA6D66">
        <w:t>nuevas inversiones. (GPR 29.09)</w:t>
      </w:r>
    </w:p>
    <w:p w:rsidR="000322F5" w:rsidRPr="00447C34" w:rsidRDefault="000322F5" w:rsidP="00600C49">
      <w:pPr>
        <w:pStyle w:val="Ttulo3"/>
        <w:rPr>
          <w:lang w:val="es-ES_tradnl"/>
        </w:rPr>
      </w:pPr>
      <w:r>
        <w:rPr>
          <w:lang w:val="es-ES_tradnl"/>
        </w:rPr>
        <w:t>Resto del mundo – varios</w:t>
      </w:r>
    </w:p>
    <w:p w:rsidR="000322F5" w:rsidRPr="00E85289" w:rsidRDefault="000322F5" w:rsidP="005A3112">
      <w:pPr>
        <w:numPr>
          <w:ilvl w:val="0"/>
          <w:numId w:val="12"/>
        </w:numPr>
        <w:spacing w:before="100" w:beforeAutospacing="1" w:line="276" w:lineRule="auto"/>
        <w:ind w:left="284" w:hanging="284"/>
      </w:pPr>
      <w:r>
        <w:rPr>
          <w:b/>
        </w:rPr>
        <w:t xml:space="preserve">El grupo Central American </w:t>
      </w:r>
      <w:proofErr w:type="spellStart"/>
      <w:r>
        <w:rPr>
          <w:b/>
        </w:rPr>
        <w:t>Electrical</w:t>
      </w:r>
      <w:proofErr w:type="spellEnd"/>
      <w:r>
        <w:rPr>
          <w:b/>
        </w:rPr>
        <w:t xml:space="preserve"> </w:t>
      </w:r>
      <w:proofErr w:type="spellStart"/>
      <w:r>
        <w:rPr>
          <w:b/>
        </w:rPr>
        <w:t>Interconnection</w:t>
      </w:r>
      <w:proofErr w:type="spellEnd"/>
      <w:r>
        <w:rPr>
          <w:b/>
        </w:rPr>
        <w:t xml:space="preserve"> </w:t>
      </w:r>
      <w:proofErr w:type="spellStart"/>
      <w:r>
        <w:rPr>
          <w:b/>
        </w:rPr>
        <w:t>System</w:t>
      </w:r>
      <w:proofErr w:type="spellEnd"/>
      <w:r>
        <w:rPr>
          <w:b/>
        </w:rPr>
        <w:t xml:space="preserve"> comenzará los test para la línea interregional de 300</w:t>
      </w:r>
      <w:r w:rsidR="002D3561">
        <w:rPr>
          <w:b/>
        </w:rPr>
        <w:t xml:space="preserve"> </w:t>
      </w:r>
      <w:r>
        <w:rPr>
          <w:b/>
        </w:rPr>
        <w:t xml:space="preserve">MW en 2012: </w:t>
      </w:r>
      <w:r w:rsidRPr="00B10C5D">
        <w:t>esta línea de 1.800</w:t>
      </w:r>
      <w:r w:rsidR="002D3561">
        <w:t xml:space="preserve"> </w:t>
      </w:r>
      <w:r w:rsidRPr="00B10C5D">
        <w:t>k</w:t>
      </w:r>
      <w:r>
        <w:t>m</w:t>
      </w:r>
      <w:r w:rsidRPr="00B10C5D">
        <w:t xml:space="preserve"> unirá las nac</w:t>
      </w:r>
      <w:r w:rsidR="002D3561">
        <w:t>iones del istmo centroamericano</w:t>
      </w:r>
      <w:r w:rsidRPr="00B10C5D">
        <w:t xml:space="preserve"> de Panamá a Guatemala, </w:t>
      </w:r>
      <w:r>
        <w:t>contando con</w:t>
      </w:r>
      <w:r w:rsidRPr="00B10C5D">
        <w:t xml:space="preserve"> la inyección de energía hidráulica desde Colombia. (GPR 01.09)</w:t>
      </w:r>
      <w:r>
        <w:rPr>
          <w:b/>
        </w:rPr>
        <w:t xml:space="preserve"> </w:t>
      </w:r>
    </w:p>
    <w:p w:rsidR="000322F5" w:rsidRDefault="000322F5" w:rsidP="005A3112">
      <w:pPr>
        <w:numPr>
          <w:ilvl w:val="0"/>
          <w:numId w:val="12"/>
        </w:numPr>
        <w:spacing w:before="100" w:beforeAutospacing="1" w:line="276" w:lineRule="auto"/>
        <w:ind w:left="284" w:hanging="284"/>
      </w:pPr>
      <w:r>
        <w:rPr>
          <w:b/>
        </w:rPr>
        <w:t xml:space="preserve">Tras varios años en discusión, Japón aprueba la ley de renovables, </w:t>
      </w:r>
      <w:r w:rsidRPr="00E85289">
        <w:t xml:space="preserve">antes de la dimisión del Primer Ministro </w:t>
      </w:r>
      <w:proofErr w:type="spellStart"/>
      <w:r w:rsidRPr="00E85289">
        <w:t>Naoto</w:t>
      </w:r>
      <w:proofErr w:type="spellEnd"/>
      <w:r w:rsidRPr="00E85289">
        <w:t xml:space="preserve"> Kan. La nueva ley establece una amplia </w:t>
      </w:r>
      <w:proofErr w:type="spellStart"/>
      <w:r w:rsidRPr="00E85289">
        <w:rPr>
          <w:i/>
        </w:rPr>
        <w:t>feed</w:t>
      </w:r>
      <w:proofErr w:type="spellEnd"/>
      <w:r w:rsidRPr="00E85289">
        <w:rPr>
          <w:i/>
        </w:rPr>
        <w:t xml:space="preserve"> in </w:t>
      </w:r>
      <w:proofErr w:type="spellStart"/>
      <w:r w:rsidRPr="00E85289">
        <w:rPr>
          <w:i/>
        </w:rPr>
        <w:t>tariff</w:t>
      </w:r>
      <w:proofErr w:type="spellEnd"/>
      <w:r w:rsidRPr="00E85289">
        <w:t xml:space="preserve"> para las energías renovables. (RER 05.09)</w:t>
      </w:r>
    </w:p>
    <w:p w:rsidR="000322F5" w:rsidRPr="00C6517E" w:rsidRDefault="000322F5" w:rsidP="005A3112">
      <w:pPr>
        <w:numPr>
          <w:ilvl w:val="0"/>
          <w:numId w:val="12"/>
        </w:numPr>
        <w:spacing w:before="100" w:beforeAutospacing="1" w:line="276" w:lineRule="auto"/>
        <w:ind w:left="284" w:hanging="284"/>
      </w:pPr>
      <w:r>
        <w:rPr>
          <w:b/>
        </w:rPr>
        <w:t xml:space="preserve">Tras la exitosa subasta de eólica en Brasil de agosto, el gobierno planea otra para diciembre. </w:t>
      </w:r>
      <w:r w:rsidRPr="00780D6E">
        <w:t xml:space="preserve">En la anterior subasta se alcanzaron acuerdos para 78 parques eólicos </w:t>
      </w:r>
      <w:r>
        <w:t>por</w:t>
      </w:r>
      <w:r w:rsidRPr="00780D6E">
        <w:t xml:space="preserve"> 1.928,8</w:t>
      </w:r>
      <w:r w:rsidR="002D3561">
        <w:t xml:space="preserve"> </w:t>
      </w:r>
      <w:r w:rsidRPr="00780D6E">
        <w:t>M</w:t>
      </w:r>
      <w:r>
        <w:t>W</w:t>
      </w:r>
      <w:r w:rsidRPr="00780D6E">
        <w:t xml:space="preserve"> de capacidad. Los promotores esperan que con la nueva subasta se simplifiquen los complicados procesos de petición de licencias medioambientales. (RER 19.09)</w:t>
      </w:r>
      <w:r w:rsidR="002D3561">
        <w:t>.</w:t>
      </w:r>
      <w:r w:rsidRPr="00FA6D66">
        <w:rPr>
          <w:b/>
        </w:rPr>
        <w:t xml:space="preserve"> </w:t>
      </w:r>
      <w:r>
        <w:rPr>
          <w:b/>
        </w:rPr>
        <w:t>Además, e</w:t>
      </w:r>
      <w:r w:rsidRPr="00D40D6D">
        <w:rPr>
          <w:b/>
        </w:rPr>
        <w:t xml:space="preserve">n la última subasta de electricidad (A-5) de Brasil, la mitad de los proyectos registrados son </w:t>
      </w:r>
      <w:r>
        <w:rPr>
          <w:b/>
        </w:rPr>
        <w:t>eólicos</w:t>
      </w:r>
      <w:r w:rsidRPr="00D40D6D">
        <w:rPr>
          <w:b/>
        </w:rPr>
        <w:t>:</w:t>
      </w:r>
      <w:r>
        <w:t xml:space="preserve"> 296 parques participaron en la subasta con un total de 7.486</w:t>
      </w:r>
      <w:r w:rsidR="002D3561">
        <w:t xml:space="preserve"> </w:t>
      </w:r>
      <w:r>
        <w:t>MW. (RER 17.10)</w:t>
      </w:r>
    </w:p>
    <w:p w:rsidR="000322F5" w:rsidRDefault="000322F5" w:rsidP="005A3112">
      <w:pPr>
        <w:numPr>
          <w:ilvl w:val="0"/>
          <w:numId w:val="12"/>
        </w:numPr>
        <w:spacing w:before="100" w:beforeAutospacing="1" w:line="276" w:lineRule="auto"/>
        <w:ind w:left="284" w:hanging="284"/>
      </w:pPr>
      <w:r>
        <w:rPr>
          <w:b/>
        </w:rPr>
        <w:t xml:space="preserve">Montenegro aprueba </w:t>
      </w:r>
      <w:proofErr w:type="spellStart"/>
      <w:r w:rsidRPr="00D40D6D">
        <w:rPr>
          <w:b/>
          <w:i/>
        </w:rPr>
        <w:t>feed</w:t>
      </w:r>
      <w:proofErr w:type="spellEnd"/>
      <w:r w:rsidRPr="00D40D6D">
        <w:rPr>
          <w:b/>
          <w:i/>
        </w:rPr>
        <w:t xml:space="preserve"> in </w:t>
      </w:r>
      <w:proofErr w:type="spellStart"/>
      <w:r w:rsidRPr="00D40D6D">
        <w:rPr>
          <w:b/>
          <w:i/>
        </w:rPr>
        <w:t>tariffs</w:t>
      </w:r>
      <w:proofErr w:type="spellEnd"/>
      <w:r>
        <w:rPr>
          <w:b/>
        </w:rPr>
        <w:t xml:space="preserve"> para renovables y cogeneración:</w:t>
      </w:r>
      <w:r>
        <w:t xml:space="preserve"> este nuevo sistema remunerará a la eólica con 0.0960</w:t>
      </w:r>
      <w:r w:rsidR="002D3561">
        <w:t xml:space="preserve"> </w:t>
      </w:r>
      <w:r>
        <w:t xml:space="preserve">EUR/kWh y los generadores de renovables firmarán </w:t>
      </w:r>
      <w:proofErr w:type="spellStart"/>
      <w:r>
        <w:t>PPAs</w:t>
      </w:r>
      <w:proofErr w:type="spellEnd"/>
      <w:r>
        <w:t xml:space="preserve"> con el operador de mercado. Las tarifas se ajustarán automáticamente cada año en línea con la inflación. (RER 17.10)</w:t>
      </w:r>
    </w:p>
    <w:p w:rsidR="000322F5" w:rsidRDefault="000322F5" w:rsidP="005A3112">
      <w:pPr>
        <w:numPr>
          <w:ilvl w:val="0"/>
          <w:numId w:val="12"/>
        </w:numPr>
        <w:spacing w:before="100" w:beforeAutospacing="1" w:line="276" w:lineRule="auto"/>
        <w:ind w:left="284" w:hanging="284"/>
      </w:pPr>
      <w:r>
        <w:rPr>
          <w:b/>
        </w:rPr>
        <w:t>La cámara baja del parlamento Australiano aprueba la legislación sobre impuesto al carbono:</w:t>
      </w:r>
      <w:r>
        <w:t xml:space="preserve"> el paquete de 18 leyes introducirá una tasa al carbono además de un sistema de comercio de emisiones, además de proporcionar ayuda financiera a las renovables. Los emisores deberán abonar 23</w:t>
      </w:r>
      <w:r w:rsidR="002D3561">
        <w:t xml:space="preserve"> </w:t>
      </w:r>
      <w:r>
        <w:t>AUD/t CO</w:t>
      </w:r>
      <w:r w:rsidRPr="00C6517E">
        <w:rPr>
          <w:vertAlign w:val="subscript"/>
        </w:rPr>
        <w:t>2</w:t>
      </w:r>
      <w:r>
        <w:t xml:space="preserve"> que emitan a partir de Julio de 2012. (RER 17.10)</w:t>
      </w:r>
      <w:r w:rsidR="002D3561">
        <w:t xml:space="preserve"> y </w:t>
      </w:r>
      <w:r>
        <w:t>(GPR 20.10)</w:t>
      </w:r>
    </w:p>
    <w:p w:rsidR="000322F5" w:rsidRPr="00E85289" w:rsidRDefault="000322F5" w:rsidP="005A3112">
      <w:pPr>
        <w:numPr>
          <w:ilvl w:val="0"/>
          <w:numId w:val="12"/>
        </w:numPr>
        <w:spacing w:before="100" w:beforeAutospacing="1" w:line="276" w:lineRule="auto"/>
        <w:ind w:left="284" w:hanging="284"/>
      </w:pPr>
      <w:r>
        <w:rPr>
          <w:b/>
        </w:rPr>
        <w:t xml:space="preserve">El regulador </w:t>
      </w:r>
      <w:proofErr w:type="gramStart"/>
      <w:r>
        <w:rPr>
          <w:b/>
        </w:rPr>
        <w:t>Pakistaní</w:t>
      </w:r>
      <w:proofErr w:type="gramEnd"/>
      <w:r>
        <w:rPr>
          <w:b/>
        </w:rPr>
        <w:t xml:space="preserve">, NEPRA, propone la creación de </w:t>
      </w:r>
      <w:proofErr w:type="spellStart"/>
      <w:r w:rsidRPr="00FA6D66">
        <w:rPr>
          <w:b/>
          <w:i/>
        </w:rPr>
        <w:t>feed</w:t>
      </w:r>
      <w:proofErr w:type="spellEnd"/>
      <w:r w:rsidRPr="00FA6D66">
        <w:rPr>
          <w:b/>
          <w:i/>
        </w:rPr>
        <w:t xml:space="preserve">-in </w:t>
      </w:r>
      <w:proofErr w:type="spellStart"/>
      <w:r w:rsidRPr="00FA6D66">
        <w:rPr>
          <w:b/>
          <w:i/>
        </w:rPr>
        <w:t>tariffs</w:t>
      </w:r>
      <w:proofErr w:type="spellEnd"/>
      <w:r w:rsidRPr="00FA6D66">
        <w:rPr>
          <w:b/>
        </w:rPr>
        <w:t xml:space="preserve"> a la eólica</w:t>
      </w:r>
      <w:r w:rsidRPr="006876EE">
        <w:t>:</w:t>
      </w:r>
      <w:r>
        <w:t xml:space="preserve"> propone tarifas a 20 años sólo para proyectos de eólica que obtengan financiación antes del fin de 2012 y para los primeros 1,5</w:t>
      </w:r>
      <w:r w:rsidR="002D3561">
        <w:t xml:space="preserve"> </w:t>
      </w:r>
      <w:r>
        <w:t>GW de capacidad del país. La nueva tarifa propuesta es de 2,61</w:t>
      </w:r>
      <w:r w:rsidR="002D3561">
        <w:t xml:space="preserve"> </w:t>
      </w:r>
      <w:r>
        <w:t>PKR/kWh (14,66</w:t>
      </w:r>
      <w:r w:rsidR="002D3561">
        <w:t xml:space="preserve"> </w:t>
      </w:r>
      <w:r>
        <w:t>USD/kWh). (RER 31.10)</w:t>
      </w:r>
    </w:p>
    <w:p w:rsidR="000322F5" w:rsidRDefault="000322F5" w:rsidP="00600C49">
      <w:pPr>
        <w:pStyle w:val="Ttulo2"/>
      </w:pPr>
      <w:r>
        <w:t>Dará que hablar…</w:t>
      </w:r>
    </w:p>
    <w:p w:rsidR="000322F5" w:rsidRDefault="000322F5" w:rsidP="00600C49">
      <w:pPr>
        <w:spacing w:before="100" w:beforeAutospacing="1" w:after="100" w:afterAutospacing="1" w:line="276" w:lineRule="auto"/>
        <w:rPr>
          <w:rFonts w:cs="Arial"/>
        </w:rPr>
      </w:pPr>
      <w:r w:rsidRPr="00D40D6D">
        <w:rPr>
          <w:rFonts w:cs="Arial"/>
          <w:b/>
        </w:rPr>
        <w:t xml:space="preserve">ISO New </w:t>
      </w:r>
      <w:proofErr w:type="spellStart"/>
      <w:r w:rsidRPr="00D40D6D">
        <w:rPr>
          <w:rFonts w:cs="Arial"/>
          <w:b/>
        </w:rPr>
        <w:t>England</w:t>
      </w:r>
      <w:proofErr w:type="spellEnd"/>
      <w:r w:rsidRPr="00D40D6D">
        <w:rPr>
          <w:rFonts w:cs="Arial"/>
          <w:b/>
        </w:rPr>
        <w:t xml:space="preserve">: </w:t>
      </w:r>
      <w:r>
        <w:rPr>
          <w:rFonts w:cs="Arial"/>
          <w:b/>
        </w:rPr>
        <w:t xml:space="preserve">la fiabilidad del sistema depende de las nuevas infraestructuras: </w:t>
      </w:r>
      <w:r w:rsidRPr="00E04B24">
        <w:rPr>
          <w:rFonts w:cs="Arial"/>
        </w:rPr>
        <w:t>Un análisis de ISO NE descubre que la edad de las centrales y el bajo coste del gas natural podría cambiar de manera dramática la situación energética de NE. Para evitarlo serán necesarias inversiones</w:t>
      </w:r>
      <w:r>
        <w:rPr>
          <w:rFonts w:cs="Arial"/>
        </w:rPr>
        <w:t xml:space="preserve"> e infraestructuras adicionales con el fin de acomodar la nueva capacidad en gas y renovables</w:t>
      </w:r>
      <w:r w:rsidRPr="00E04B24">
        <w:rPr>
          <w:rFonts w:cs="Arial"/>
        </w:rPr>
        <w:t>. (</w:t>
      </w:r>
      <w:proofErr w:type="spellStart"/>
      <w:r w:rsidRPr="00523F28">
        <w:rPr>
          <w:rFonts w:cs="Arial"/>
          <w:lang w:val="es-ES_tradnl"/>
        </w:rPr>
        <w:t>Associated</w:t>
      </w:r>
      <w:proofErr w:type="spellEnd"/>
      <w:r w:rsidRPr="00523F28">
        <w:rPr>
          <w:rFonts w:cs="Arial"/>
          <w:lang w:val="es-ES_tradnl"/>
        </w:rPr>
        <w:t xml:space="preserve"> </w:t>
      </w:r>
      <w:proofErr w:type="spellStart"/>
      <w:r w:rsidRPr="00523F28">
        <w:rPr>
          <w:rFonts w:cs="Arial"/>
          <w:lang w:val="es-ES_tradnl"/>
        </w:rPr>
        <w:t>Press</w:t>
      </w:r>
      <w:proofErr w:type="spellEnd"/>
      <w:r w:rsidRPr="00523F28">
        <w:rPr>
          <w:rFonts w:cs="Arial"/>
          <w:lang w:val="es-ES_tradnl"/>
        </w:rPr>
        <w:t xml:space="preserve"> </w:t>
      </w:r>
      <w:proofErr w:type="spellStart"/>
      <w:r w:rsidRPr="00523F28">
        <w:rPr>
          <w:rFonts w:cs="Arial"/>
          <w:lang w:val="es-ES_tradnl"/>
        </w:rPr>
        <w:t>via</w:t>
      </w:r>
      <w:proofErr w:type="spellEnd"/>
      <w:r w:rsidRPr="00523F28">
        <w:rPr>
          <w:rFonts w:cs="Arial"/>
          <w:lang w:val="es-ES_tradnl"/>
        </w:rPr>
        <w:t xml:space="preserve"> </w:t>
      </w:r>
      <w:proofErr w:type="spellStart"/>
      <w:r w:rsidRPr="00523F28">
        <w:rPr>
          <w:rFonts w:cs="Arial"/>
          <w:lang w:val="es-ES_tradnl"/>
        </w:rPr>
        <w:t>Foster's</w:t>
      </w:r>
      <w:proofErr w:type="spellEnd"/>
      <w:r w:rsidRPr="00523F28">
        <w:rPr>
          <w:rFonts w:cs="Arial"/>
          <w:lang w:val="es-ES_tradnl"/>
        </w:rPr>
        <w:t xml:space="preserve"> (N.H.) </w:t>
      </w:r>
      <w:r w:rsidRPr="00E04B24">
        <w:rPr>
          <w:rFonts w:cs="Arial"/>
        </w:rPr>
        <w:t xml:space="preserve">Daily </w:t>
      </w:r>
      <w:proofErr w:type="spellStart"/>
      <w:r w:rsidRPr="00E04B24">
        <w:rPr>
          <w:rFonts w:cs="Arial"/>
        </w:rPr>
        <w:t>Democrat</w:t>
      </w:r>
      <w:proofErr w:type="spellEnd"/>
      <w:r w:rsidRPr="00E04B24">
        <w:rPr>
          <w:rFonts w:cs="Arial"/>
        </w:rPr>
        <w:t xml:space="preserve">, </w:t>
      </w:r>
      <w:r>
        <w:rPr>
          <w:rFonts w:cs="Arial"/>
        </w:rPr>
        <w:t>1</w:t>
      </w:r>
      <w:r w:rsidRPr="00E04B24">
        <w:rPr>
          <w:rFonts w:cs="Arial"/>
        </w:rPr>
        <w:t>0.10)</w:t>
      </w:r>
    </w:p>
    <w:p w:rsidR="000322F5" w:rsidRDefault="000322F5" w:rsidP="00600C49">
      <w:pPr>
        <w:spacing w:before="100" w:beforeAutospacing="1" w:after="100" w:afterAutospacing="1" w:line="276" w:lineRule="auto"/>
        <w:rPr>
          <w:rFonts w:cs="Arial"/>
        </w:rPr>
      </w:pPr>
      <w:r w:rsidRPr="008D2A6F">
        <w:rPr>
          <w:rFonts w:cs="Arial"/>
          <w:b/>
        </w:rPr>
        <w:t>Francia lanza una consulta pública sobre propuestas para un mercado de capacidad:</w:t>
      </w:r>
      <w:r>
        <w:rPr>
          <w:rFonts w:cs="Arial"/>
        </w:rPr>
        <w:t xml:space="preserve"> la Ley NOME aprobada en 2010 introducía el requisito para los suministradores de electricidad de participar en un mercado de capacidad a partir de 2015, en donde también se integrarían medidas de gestión de demanda. Los suministradores deberán respaldar su demanda a partir de la suscripción de contratos por una cantidad predeterminada de capacidad y RTE certificará que se cumplen las garantías bajo riesgo de penalización en su defecto. Dichos contratos se intercambiarán en un mercado de capacidad cuyos detalles están por confirmar. (GPR 20.10)</w:t>
      </w:r>
      <w:r w:rsidR="002D3561">
        <w:rPr>
          <w:rFonts w:cs="Arial"/>
        </w:rPr>
        <w:t xml:space="preserve"> y</w:t>
      </w:r>
      <w:r>
        <w:rPr>
          <w:rFonts w:cs="Arial"/>
        </w:rPr>
        <w:t xml:space="preserve"> (EUE 21.10)</w:t>
      </w:r>
    </w:p>
    <w:p w:rsidR="000322F5" w:rsidRPr="009A5602" w:rsidRDefault="000322F5" w:rsidP="00600C49">
      <w:pPr>
        <w:spacing w:before="100" w:beforeAutospacing="1" w:after="100" w:afterAutospacing="1" w:line="276" w:lineRule="auto"/>
        <w:rPr>
          <w:rFonts w:cs="Arial"/>
          <w:lang w:val="en-US"/>
        </w:rPr>
      </w:pPr>
      <w:r>
        <w:rPr>
          <w:rFonts w:cs="Arial"/>
          <w:b/>
        </w:rPr>
        <w:t xml:space="preserve">Se modera la subida del componente de los subsidios renovables a cargo de los </w:t>
      </w:r>
      <w:r w:rsidRPr="00981197">
        <w:rPr>
          <w:rFonts w:cs="Arial"/>
          <w:b/>
        </w:rPr>
        <w:t xml:space="preserve">consumidores alemanes </w:t>
      </w:r>
      <w:r>
        <w:rPr>
          <w:rFonts w:cs="Arial"/>
          <w:b/>
        </w:rPr>
        <w:t>en 2012</w:t>
      </w:r>
      <w:r>
        <w:rPr>
          <w:rFonts w:cs="Arial"/>
        </w:rPr>
        <w:t>: la llamada EEG-</w:t>
      </w:r>
      <w:proofErr w:type="spellStart"/>
      <w:r>
        <w:rPr>
          <w:rFonts w:cs="Arial"/>
        </w:rPr>
        <w:t>Umlage</w:t>
      </w:r>
      <w:proofErr w:type="spellEnd"/>
      <w:r>
        <w:rPr>
          <w:rFonts w:cs="Arial"/>
        </w:rPr>
        <w:t xml:space="preserve"> (un tasa especial establecida por los operadores de redes incluida en los precio minoristas e industriales) aumentará en 2012 un 1,8% hasta los 0,3592</w:t>
      </w:r>
      <w:r w:rsidR="002D3561">
        <w:rPr>
          <w:rFonts w:cs="Arial"/>
        </w:rPr>
        <w:t xml:space="preserve"> </w:t>
      </w:r>
      <w:r>
        <w:rPr>
          <w:rFonts w:cs="Arial"/>
        </w:rPr>
        <w:t xml:space="preserve">EUR/kWh. Esta tasa es calculada por los cuatro operadores de red como la diferencia entre las </w:t>
      </w:r>
      <w:proofErr w:type="spellStart"/>
      <w:r>
        <w:rPr>
          <w:rFonts w:cs="Arial"/>
        </w:rPr>
        <w:t>feed</w:t>
      </w:r>
      <w:proofErr w:type="spellEnd"/>
      <w:r>
        <w:rPr>
          <w:rFonts w:cs="Arial"/>
        </w:rPr>
        <w:t xml:space="preserve"> in </w:t>
      </w:r>
      <w:proofErr w:type="spellStart"/>
      <w:r>
        <w:rPr>
          <w:rFonts w:cs="Arial"/>
        </w:rPr>
        <w:t>tariff</w:t>
      </w:r>
      <w:proofErr w:type="spellEnd"/>
      <w:r>
        <w:rPr>
          <w:rFonts w:cs="Arial"/>
        </w:rPr>
        <w:t xml:space="preserve"> que se pagan a los productores y el precio de venta obtenido en el mercado spot. La evolución de los precios del mercado mayorista y la moderación en la instalación de nuevas solares FV ha permitido moderar el crecimiento de la aportación de los consumidores que de cara a 2011 superó el 70%. Se estima que en 2012 el coste de la generación renovable se situará en 17.600 millones de EUR que supone un volumen de subsidios de 12.700 millones EUR que los consumidores afrontan con un componente específico en los peajes de acceso. </w:t>
      </w:r>
      <w:r w:rsidRPr="009A5602">
        <w:rPr>
          <w:rFonts w:cs="Arial"/>
          <w:lang w:val="en-US"/>
        </w:rPr>
        <w:t>(EUE 21.10)</w:t>
      </w:r>
    </w:p>
    <w:p w:rsidR="000322F5" w:rsidRPr="000322F5" w:rsidRDefault="000322F5" w:rsidP="00600C49">
      <w:pPr>
        <w:pStyle w:val="Ttulo2"/>
        <w:rPr>
          <w:lang w:val="en-US"/>
        </w:rPr>
      </w:pPr>
      <w:r w:rsidRPr="000322F5">
        <w:rPr>
          <w:lang w:val="en-US"/>
        </w:rPr>
        <w:t>Glosario</w:t>
      </w:r>
    </w:p>
    <w:p w:rsidR="000322F5" w:rsidRPr="005A1103" w:rsidRDefault="000322F5" w:rsidP="00600C49">
      <w:pPr>
        <w:spacing w:before="100" w:beforeAutospacing="1" w:after="100" w:afterAutospacing="1" w:line="276" w:lineRule="auto"/>
      </w:pPr>
      <w:r w:rsidRPr="005A1103">
        <w:rPr>
          <w:lang w:val="en-US"/>
        </w:rPr>
        <w:t xml:space="preserve">ACER: </w:t>
      </w:r>
      <w:r w:rsidRPr="005A1103">
        <w:rPr>
          <w:i/>
          <w:lang w:val="en-US"/>
        </w:rPr>
        <w:t xml:space="preserve">Agency for the Cooperation of Energy regulators. </w:t>
      </w:r>
      <w:r w:rsidRPr="005A1103">
        <w:t>Agencia para la cooperación de reguladores europeos.</w:t>
      </w:r>
    </w:p>
    <w:p w:rsidR="000322F5" w:rsidRPr="005A1103" w:rsidRDefault="000322F5" w:rsidP="00600C49">
      <w:pPr>
        <w:spacing w:before="100" w:beforeAutospacing="1" w:after="100" w:afterAutospacing="1" w:line="276" w:lineRule="auto"/>
      </w:pPr>
      <w:r w:rsidRPr="005A1103">
        <w:rPr>
          <w:lang w:val="it-IT"/>
        </w:rPr>
        <w:t xml:space="preserve">AEEG: </w:t>
      </w:r>
      <w:r w:rsidRPr="005A1103">
        <w:rPr>
          <w:i/>
          <w:lang w:val="it-IT"/>
        </w:rPr>
        <w:t>Autoritá per l'energia elettrica e il gas.</w:t>
      </w:r>
      <w:r w:rsidRPr="005A1103">
        <w:rPr>
          <w:lang w:val="it-IT"/>
        </w:rPr>
        <w:t xml:space="preserve"> </w:t>
      </w:r>
      <w:r w:rsidRPr="005A1103">
        <w:t>Regulador energético italiano.</w:t>
      </w:r>
    </w:p>
    <w:p w:rsidR="000322F5" w:rsidRPr="005A1103" w:rsidRDefault="000322F5" w:rsidP="00600C49">
      <w:pPr>
        <w:spacing w:before="100" w:beforeAutospacing="1" w:after="100" w:afterAutospacing="1" w:line="276" w:lineRule="auto"/>
      </w:pPr>
      <w:r w:rsidRPr="005A1103">
        <w:t>AUD: Dólar australiano</w:t>
      </w:r>
    </w:p>
    <w:p w:rsidR="000322F5" w:rsidRPr="005A1103" w:rsidRDefault="000322F5" w:rsidP="00600C49">
      <w:pPr>
        <w:spacing w:before="100" w:beforeAutospacing="1" w:after="100" w:afterAutospacing="1" w:line="276" w:lineRule="auto"/>
      </w:pPr>
      <w:r w:rsidRPr="005A1103">
        <w:t xml:space="preserve">BNA: </w:t>
      </w:r>
      <w:proofErr w:type="spellStart"/>
      <w:r w:rsidRPr="005A1103">
        <w:t>Bundesnetzagentur</w:t>
      </w:r>
      <w:proofErr w:type="spellEnd"/>
      <w:r w:rsidRPr="005A1103">
        <w:t>, regulador alemán.</w:t>
      </w:r>
    </w:p>
    <w:p w:rsidR="000322F5" w:rsidRPr="005A1103" w:rsidRDefault="000322F5" w:rsidP="00600C49">
      <w:pPr>
        <w:spacing w:before="100" w:beforeAutospacing="1" w:after="100" w:afterAutospacing="1" w:line="276" w:lineRule="auto"/>
      </w:pPr>
      <w:r w:rsidRPr="005A1103">
        <w:t xml:space="preserve">BPA: </w:t>
      </w:r>
      <w:proofErr w:type="spellStart"/>
      <w:r w:rsidRPr="005A1103">
        <w:t>Bonneville</w:t>
      </w:r>
      <w:proofErr w:type="spellEnd"/>
      <w:r w:rsidRPr="005A1103">
        <w:t xml:space="preserve"> </w:t>
      </w:r>
      <w:proofErr w:type="spellStart"/>
      <w:r w:rsidRPr="005A1103">
        <w:t>Power</w:t>
      </w:r>
      <w:proofErr w:type="spellEnd"/>
      <w:r w:rsidRPr="005A1103">
        <w:t xml:space="preserve"> </w:t>
      </w:r>
      <w:proofErr w:type="spellStart"/>
      <w:r w:rsidRPr="005A1103">
        <w:t>Administration</w:t>
      </w:r>
      <w:proofErr w:type="spellEnd"/>
      <w:r w:rsidRPr="005A1103">
        <w:t xml:space="preserve">, Agencia federal que transporta y vende electricidad en ocho estados del oeste de EEUU: Washington, </w:t>
      </w:r>
      <w:proofErr w:type="spellStart"/>
      <w:r w:rsidRPr="005A1103">
        <w:t>Oregon</w:t>
      </w:r>
      <w:proofErr w:type="spellEnd"/>
      <w:r w:rsidRPr="005A1103">
        <w:t>, Idaho, Montana, Wyoming, Utah, Nevada, y California.</w:t>
      </w:r>
    </w:p>
    <w:p w:rsidR="000322F5" w:rsidRPr="005A1103" w:rsidRDefault="000322F5" w:rsidP="00600C49">
      <w:pPr>
        <w:spacing w:before="100" w:beforeAutospacing="1" w:after="100" w:afterAutospacing="1" w:line="276" w:lineRule="auto"/>
      </w:pPr>
      <w:r w:rsidRPr="005A1103">
        <w:rPr>
          <w:lang w:val="en-US"/>
        </w:rPr>
        <w:t xml:space="preserve">CARB: </w:t>
      </w:r>
      <w:r w:rsidRPr="005A1103">
        <w:rPr>
          <w:i/>
          <w:lang w:val="en-US"/>
        </w:rPr>
        <w:t xml:space="preserve">California Air Resources Board. </w:t>
      </w:r>
      <w:r w:rsidRPr="005A1103">
        <w:t>Agencia encargada del ‘aire limpio’ en el estado de California.</w:t>
      </w:r>
    </w:p>
    <w:p w:rsidR="000322F5" w:rsidRPr="000322F5" w:rsidRDefault="000322F5" w:rsidP="00600C49">
      <w:pPr>
        <w:spacing w:before="100" w:beforeAutospacing="1" w:after="100" w:afterAutospacing="1" w:line="276" w:lineRule="auto"/>
      </w:pPr>
      <w:r w:rsidRPr="005A1103">
        <w:rPr>
          <w:lang w:val="en-US"/>
        </w:rPr>
        <w:t xml:space="preserve">CASC: Capacity allocation service Company. </w:t>
      </w:r>
      <w:r w:rsidRPr="000322F5">
        <w:t xml:space="preserve">Empresa integrada por los operadores de transporte </w:t>
      </w:r>
      <w:proofErr w:type="spellStart"/>
      <w:r w:rsidRPr="000322F5">
        <w:t>Creos</w:t>
      </w:r>
      <w:proofErr w:type="spellEnd"/>
      <w:r w:rsidRPr="000322F5">
        <w:t xml:space="preserve">, Elia, </w:t>
      </w:r>
      <w:proofErr w:type="spellStart"/>
      <w:r w:rsidRPr="000322F5">
        <w:t>EnBW</w:t>
      </w:r>
      <w:proofErr w:type="spellEnd"/>
      <w:r w:rsidRPr="000322F5">
        <w:t xml:space="preserve"> </w:t>
      </w:r>
      <w:proofErr w:type="spellStart"/>
      <w:r w:rsidRPr="000322F5">
        <w:t>Transportnetze</w:t>
      </w:r>
      <w:proofErr w:type="spellEnd"/>
      <w:r w:rsidRPr="000322F5">
        <w:t xml:space="preserve"> AG, </w:t>
      </w:r>
      <w:proofErr w:type="spellStart"/>
      <w:r w:rsidRPr="000322F5">
        <w:t>Transpower</w:t>
      </w:r>
      <w:proofErr w:type="spellEnd"/>
      <w:r w:rsidRPr="000322F5">
        <w:t xml:space="preserve">, RTE, </w:t>
      </w:r>
      <w:proofErr w:type="spellStart"/>
      <w:r w:rsidRPr="000322F5">
        <w:t>Amprion</w:t>
      </w:r>
      <w:proofErr w:type="spellEnd"/>
      <w:r w:rsidRPr="000322F5">
        <w:t xml:space="preserve"> y </w:t>
      </w:r>
      <w:proofErr w:type="spellStart"/>
      <w:r w:rsidRPr="000322F5">
        <w:t>TenneT</w:t>
      </w:r>
      <w:proofErr w:type="spellEnd"/>
      <w:r w:rsidRPr="000322F5">
        <w:t>, de cinco mercados de electricidad.</w:t>
      </w:r>
    </w:p>
    <w:p w:rsidR="000322F5" w:rsidRPr="005A1103" w:rsidRDefault="000322F5" w:rsidP="00600C49">
      <w:pPr>
        <w:spacing w:before="100" w:beforeAutospacing="1" w:after="100" w:afterAutospacing="1" w:line="276" w:lineRule="auto"/>
      </w:pPr>
      <w:proofErr w:type="gramStart"/>
      <w:r w:rsidRPr="005A1103">
        <w:rPr>
          <w:lang w:val="en-US"/>
        </w:rPr>
        <w:t xml:space="preserve">CCS: </w:t>
      </w:r>
      <w:r w:rsidRPr="005A1103">
        <w:rPr>
          <w:i/>
          <w:lang w:val="en-US"/>
        </w:rPr>
        <w:t>Carbon capture and storage</w:t>
      </w:r>
      <w:r w:rsidRPr="005A1103">
        <w:rPr>
          <w:lang w:val="en-US"/>
        </w:rPr>
        <w:t>.</w:t>
      </w:r>
      <w:proofErr w:type="gramEnd"/>
      <w:r w:rsidRPr="005A1103">
        <w:rPr>
          <w:lang w:val="en-US"/>
        </w:rPr>
        <w:t xml:space="preserve"> </w:t>
      </w:r>
      <w:r w:rsidRPr="005A1103">
        <w:t>Captura y almacenamiento de carbono.</w:t>
      </w:r>
    </w:p>
    <w:p w:rsidR="000322F5" w:rsidRPr="005A1103" w:rsidRDefault="000322F5" w:rsidP="00600C49">
      <w:pPr>
        <w:spacing w:before="100" w:beforeAutospacing="1" w:after="100" w:afterAutospacing="1" w:line="276" w:lineRule="auto"/>
      </w:pPr>
      <w:r w:rsidRPr="005A1103">
        <w:t xml:space="preserve">CMU: </w:t>
      </w:r>
      <w:proofErr w:type="spellStart"/>
      <w:r w:rsidRPr="005A1103">
        <w:rPr>
          <w:i/>
        </w:rPr>
        <w:t>Couverture</w:t>
      </w:r>
      <w:proofErr w:type="spellEnd"/>
      <w:r w:rsidRPr="005A1103">
        <w:rPr>
          <w:i/>
        </w:rPr>
        <w:t xml:space="preserve"> </w:t>
      </w:r>
      <w:proofErr w:type="spellStart"/>
      <w:r w:rsidRPr="005A1103">
        <w:rPr>
          <w:i/>
        </w:rPr>
        <w:t>Maladie</w:t>
      </w:r>
      <w:proofErr w:type="spellEnd"/>
      <w:r w:rsidRPr="005A1103">
        <w:rPr>
          <w:i/>
        </w:rPr>
        <w:t xml:space="preserve"> </w:t>
      </w:r>
      <w:proofErr w:type="spellStart"/>
      <w:r w:rsidRPr="005A1103">
        <w:rPr>
          <w:i/>
        </w:rPr>
        <w:t>Universelle</w:t>
      </w:r>
      <w:proofErr w:type="spellEnd"/>
      <w:r w:rsidRPr="005A1103">
        <w:t>, Seguridad social francesa</w:t>
      </w:r>
    </w:p>
    <w:p w:rsidR="000322F5" w:rsidRPr="005A1103" w:rsidRDefault="000322F5" w:rsidP="00600C49">
      <w:pPr>
        <w:spacing w:before="100" w:beforeAutospacing="1" w:after="100" w:afterAutospacing="1" w:line="276" w:lineRule="auto"/>
      </w:pPr>
      <w:r w:rsidRPr="005A1103">
        <w:t>CRE: Comisión reguladora de energía mejicana</w:t>
      </w:r>
    </w:p>
    <w:p w:rsidR="000322F5" w:rsidRPr="005A1103" w:rsidRDefault="000322F5" w:rsidP="00600C49">
      <w:pPr>
        <w:spacing w:before="100" w:beforeAutospacing="1" w:after="100" w:afterAutospacing="1" w:line="276" w:lineRule="auto"/>
      </w:pPr>
      <w:r w:rsidRPr="005A1103">
        <w:rPr>
          <w:lang w:val="fr-FR"/>
        </w:rPr>
        <w:t xml:space="preserve">CREG: </w:t>
      </w:r>
      <w:r w:rsidRPr="005A1103">
        <w:rPr>
          <w:i/>
          <w:lang w:val="fr-FR"/>
        </w:rPr>
        <w:t>Commission de régulation de l'électricité et du gaz</w:t>
      </w:r>
      <w:r w:rsidRPr="005A1103">
        <w:rPr>
          <w:lang w:val="fr-FR"/>
        </w:rPr>
        <w:t xml:space="preserve">. </w:t>
      </w:r>
      <w:r w:rsidRPr="005A1103">
        <w:t>Comisión de regulación de electricidad y gas belga.</w:t>
      </w:r>
    </w:p>
    <w:p w:rsidR="000322F5" w:rsidRPr="005A1103" w:rsidRDefault="000322F5" w:rsidP="00600C49">
      <w:pPr>
        <w:spacing w:before="100" w:beforeAutospacing="1" w:after="100" w:afterAutospacing="1" w:line="276" w:lineRule="auto"/>
      </w:pPr>
      <w:r w:rsidRPr="005A1103">
        <w:rPr>
          <w:lang w:val="en-US"/>
        </w:rPr>
        <w:t xml:space="preserve">DOE: </w:t>
      </w:r>
      <w:r w:rsidRPr="005A1103">
        <w:rPr>
          <w:i/>
          <w:lang w:val="en-US"/>
        </w:rPr>
        <w:t>Department of Energy</w:t>
      </w:r>
      <w:r w:rsidRPr="005A1103">
        <w:rPr>
          <w:lang w:val="en-US"/>
        </w:rPr>
        <w:t xml:space="preserve">, USA. </w:t>
      </w:r>
      <w:r w:rsidRPr="005A1103">
        <w:t>Departamento de energía de los EEUU.</w:t>
      </w:r>
    </w:p>
    <w:p w:rsidR="000322F5" w:rsidRPr="005A1103" w:rsidRDefault="000322F5" w:rsidP="00600C49">
      <w:pPr>
        <w:spacing w:before="100" w:beforeAutospacing="1" w:after="100" w:afterAutospacing="1" w:line="276" w:lineRule="auto"/>
      </w:pPr>
      <w:r w:rsidRPr="005A1103">
        <w:rPr>
          <w:lang w:val="en-US"/>
        </w:rPr>
        <w:t xml:space="preserve">ENTSO-E, ENTSO-G: </w:t>
      </w:r>
      <w:r w:rsidRPr="005A1103">
        <w:rPr>
          <w:i/>
          <w:lang w:val="en-US"/>
        </w:rPr>
        <w:t>European Network of Transmission System Operators of Electricity and Gas</w:t>
      </w:r>
      <w:r w:rsidRPr="005A1103">
        <w:rPr>
          <w:lang w:val="en-US"/>
        </w:rPr>
        <w:t xml:space="preserve">. </w:t>
      </w:r>
      <w:r w:rsidRPr="005A1103">
        <w:t>Red europea de operadores de transporte de gas y electricidad.</w:t>
      </w:r>
    </w:p>
    <w:p w:rsidR="000322F5" w:rsidRPr="005A1103" w:rsidRDefault="000322F5" w:rsidP="00600C49">
      <w:pPr>
        <w:spacing w:before="100" w:beforeAutospacing="1" w:after="100" w:afterAutospacing="1" w:line="276" w:lineRule="auto"/>
      </w:pPr>
      <w:r w:rsidRPr="005A1103">
        <w:t xml:space="preserve">EPA: </w:t>
      </w:r>
      <w:proofErr w:type="spellStart"/>
      <w:r w:rsidRPr="005A1103">
        <w:rPr>
          <w:i/>
        </w:rPr>
        <w:t>Environmental</w:t>
      </w:r>
      <w:proofErr w:type="spellEnd"/>
      <w:r w:rsidRPr="005A1103">
        <w:rPr>
          <w:i/>
        </w:rPr>
        <w:t xml:space="preserve"> </w:t>
      </w:r>
      <w:proofErr w:type="spellStart"/>
      <w:r w:rsidRPr="005A1103">
        <w:rPr>
          <w:i/>
        </w:rPr>
        <w:t>Protection</w:t>
      </w:r>
      <w:proofErr w:type="spellEnd"/>
      <w:r w:rsidRPr="005A1103">
        <w:rPr>
          <w:i/>
        </w:rPr>
        <w:t xml:space="preserve"> </w:t>
      </w:r>
      <w:proofErr w:type="spellStart"/>
      <w:r w:rsidRPr="005A1103">
        <w:rPr>
          <w:i/>
        </w:rPr>
        <w:t>Agency</w:t>
      </w:r>
      <w:proofErr w:type="spellEnd"/>
      <w:r w:rsidRPr="005A1103">
        <w:t>. Agencia de protección medioambiental estadounidense.</w:t>
      </w:r>
    </w:p>
    <w:p w:rsidR="000322F5" w:rsidRPr="005A1103" w:rsidRDefault="000322F5" w:rsidP="00600C49">
      <w:pPr>
        <w:spacing w:before="100" w:beforeAutospacing="1" w:after="100" w:afterAutospacing="1" w:line="276" w:lineRule="auto"/>
      </w:pPr>
      <w:r w:rsidRPr="005A1103">
        <w:rPr>
          <w:lang w:val="en-US"/>
        </w:rPr>
        <w:t xml:space="preserve">ERCOT: </w:t>
      </w:r>
      <w:r w:rsidRPr="005A1103">
        <w:rPr>
          <w:i/>
          <w:lang w:val="en-US"/>
        </w:rPr>
        <w:t>Electric Reliability Council of Texas</w:t>
      </w:r>
      <w:r w:rsidRPr="005A1103">
        <w:rPr>
          <w:lang w:val="en-US"/>
        </w:rPr>
        <w:t xml:space="preserve">. </w:t>
      </w:r>
      <w:r w:rsidRPr="005A1103">
        <w:t>Operador de la red de gran parte de Texas.</w:t>
      </w:r>
    </w:p>
    <w:p w:rsidR="000322F5" w:rsidRPr="005A1103" w:rsidRDefault="000322F5" w:rsidP="00600C49">
      <w:pPr>
        <w:spacing w:before="100" w:beforeAutospacing="1" w:after="100" w:afterAutospacing="1" w:line="276" w:lineRule="auto"/>
      </w:pPr>
      <w:r w:rsidRPr="005A1103">
        <w:t xml:space="preserve">EUE: </w:t>
      </w:r>
      <w:r w:rsidRPr="005A1103">
        <w:rPr>
          <w:i/>
        </w:rPr>
        <w:t xml:space="preserve">EU </w:t>
      </w:r>
      <w:proofErr w:type="spellStart"/>
      <w:r w:rsidRPr="005A1103">
        <w:rPr>
          <w:i/>
        </w:rPr>
        <w:t>Energy</w:t>
      </w:r>
      <w:proofErr w:type="spellEnd"/>
      <w:r w:rsidRPr="005A1103">
        <w:t xml:space="preserve">, </w:t>
      </w:r>
      <w:proofErr w:type="spellStart"/>
      <w:r w:rsidRPr="005A1103">
        <w:t>Platts</w:t>
      </w:r>
      <w:proofErr w:type="spellEnd"/>
      <w:r w:rsidRPr="005A1103">
        <w:t>.</w:t>
      </w:r>
    </w:p>
    <w:p w:rsidR="000322F5" w:rsidRPr="005A1103" w:rsidRDefault="000322F5" w:rsidP="00600C49">
      <w:pPr>
        <w:spacing w:before="100" w:beforeAutospacing="1" w:after="100" w:afterAutospacing="1" w:line="276" w:lineRule="auto"/>
      </w:pPr>
      <w:r w:rsidRPr="005A1103">
        <w:t>EUR: Euro</w:t>
      </w:r>
    </w:p>
    <w:p w:rsidR="000322F5" w:rsidRPr="005A1103" w:rsidRDefault="000322F5" w:rsidP="00600C49">
      <w:pPr>
        <w:spacing w:before="100" w:beforeAutospacing="1" w:after="100" w:afterAutospacing="1" w:line="276" w:lineRule="auto"/>
      </w:pPr>
      <w:r w:rsidRPr="000322F5">
        <w:rPr>
          <w:lang w:val="en-US"/>
        </w:rPr>
        <w:t xml:space="preserve">FERC: </w:t>
      </w:r>
      <w:r w:rsidRPr="000322F5">
        <w:rPr>
          <w:i/>
          <w:lang w:val="en-US"/>
        </w:rPr>
        <w:t>Federal Energy Regulatory Commission</w:t>
      </w:r>
      <w:r w:rsidRPr="000322F5">
        <w:rPr>
          <w:lang w:val="en-US"/>
        </w:rPr>
        <w:t xml:space="preserve">. </w:t>
      </w:r>
      <w:r w:rsidRPr="005A1103">
        <w:t>Comisión federal de regulación energética estadounidense.</w:t>
      </w:r>
    </w:p>
    <w:p w:rsidR="000322F5" w:rsidRPr="005A1103" w:rsidRDefault="000322F5" w:rsidP="00600C49">
      <w:pPr>
        <w:spacing w:before="100" w:beforeAutospacing="1" w:after="100" w:afterAutospacing="1" w:line="276" w:lineRule="auto"/>
        <w:rPr>
          <w:lang w:val="en-US"/>
        </w:rPr>
      </w:pPr>
      <w:r w:rsidRPr="005A1103">
        <w:rPr>
          <w:lang w:val="en-US"/>
        </w:rPr>
        <w:t xml:space="preserve">FIT: </w:t>
      </w:r>
      <w:r w:rsidRPr="005A1103">
        <w:rPr>
          <w:i/>
          <w:lang w:val="en-US"/>
        </w:rPr>
        <w:t>Feed in tariffs</w:t>
      </w:r>
      <w:r w:rsidRPr="005A1103">
        <w:rPr>
          <w:lang w:val="en-US"/>
        </w:rPr>
        <w:t xml:space="preserve">. </w:t>
      </w:r>
      <w:proofErr w:type="spellStart"/>
      <w:proofErr w:type="gramStart"/>
      <w:r w:rsidRPr="005A1103">
        <w:rPr>
          <w:lang w:val="en-US"/>
        </w:rPr>
        <w:t>Tarifas</w:t>
      </w:r>
      <w:proofErr w:type="spellEnd"/>
      <w:r w:rsidRPr="005A1103">
        <w:rPr>
          <w:lang w:val="en-US"/>
        </w:rPr>
        <w:t xml:space="preserve"> </w:t>
      </w:r>
      <w:proofErr w:type="spellStart"/>
      <w:r w:rsidRPr="005A1103">
        <w:rPr>
          <w:lang w:val="en-US"/>
        </w:rPr>
        <w:t>fijas</w:t>
      </w:r>
      <w:proofErr w:type="spellEnd"/>
      <w:r w:rsidRPr="005A1103">
        <w:rPr>
          <w:lang w:val="en-US"/>
        </w:rPr>
        <w:t>.</w:t>
      </w:r>
      <w:proofErr w:type="gramEnd"/>
    </w:p>
    <w:p w:rsidR="000322F5" w:rsidRPr="005A1103" w:rsidRDefault="000322F5" w:rsidP="00600C49">
      <w:pPr>
        <w:spacing w:before="100" w:beforeAutospacing="1" w:after="100" w:afterAutospacing="1" w:line="276" w:lineRule="auto"/>
        <w:rPr>
          <w:lang w:val="fr-FR"/>
        </w:rPr>
      </w:pPr>
      <w:r w:rsidRPr="005A1103">
        <w:rPr>
          <w:lang w:val="fr-FR"/>
        </w:rPr>
        <w:t xml:space="preserve">GEI: </w:t>
      </w:r>
      <w:proofErr w:type="spellStart"/>
      <w:r w:rsidRPr="005A1103">
        <w:rPr>
          <w:lang w:val="fr-FR"/>
        </w:rPr>
        <w:t>Gases</w:t>
      </w:r>
      <w:proofErr w:type="spellEnd"/>
      <w:r w:rsidRPr="005A1103">
        <w:rPr>
          <w:lang w:val="fr-FR"/>
        </w:rPr>
        <w:t xml:space="preserve"> </w:t>
      </w:r>
      <w:proofErr w:type="gramStart"/>
      <w:r w:rsidRPr="005A1103">
        <w:rPr>
          <w:lang w:val="fr-FR"/>
        </w:rPr>
        <w:t xml:space="preserve">de </w:t>
      </w:r>
      <w:proofErr w:type="spellStart"/>
      <w:r w:rsidRPr="005A1103">
        <w:rPr>
          <w:lang w:val="fr-FR"/>
        </w:rPr>
        <w:t>Efecto</w:t>
      </w:r>
      <w:proofErr w:type="spellEnd"/>
      <w:proofErr w:type="gramEnd"/>
      <w:r w:rsidRPr="005A1103">
        <w:rPr>
          <w:lang w:val="fr-FR"/>
        </w:rPr>
        <w:t xml:space="preserve"> </w:t>
      </w:r>
      <w:proofErr w:type="spellStart"/>
      <w:r w:rsidRPr="005A1103">
        <w:rPr>
          <w:lang w:val="fr-FR"/>
        </w:rPr>
        <w:t>Invernadero</w:t>
      </w:r>
      <w:proofErr w:type="spellEnd"/>
    </w:p>
    <w:p w:rsidR="000322F5" w:rsidRPr="005A1103" w:rsidRDefault="000322F5" w:rsidP="00600C49">
      <w:pPr>
        <w:spacing w:before="100" w:beforeAutospacing="1" w:after="100" w:afterAutospacing="1" w:line="276" w:lineRule="auto"/>
      </w:pPr>
      <w:r w:rsidRPr="005A1103">
        <w:rPr>
          <w:lang w:val="fr-FR"/>
        </w:rPr>
        <w:t xml:space="preserve">GFI - Groupe des Fédérations Industrielles. </w:t>
      </w:r>
      <w:r w:rsidRPr="005A1103">
        <w:t>Asociación de industrias francesa.</w:t>
      </w:r>
    </w:p>
    <w:p w:rsidR="000322F5" w:rsidRPr="00C24E88" w:rsidRDefault="000322F5" w:rsidP="00600C49">
      <w:pPr>
        <w:spacing w:before="100" w:beforeAutospacing="1" w:after="100" w:afterAutospacing="1" w:line="276" w:lineRule="auto"/>
      </w:pPr>
      <w:r w:rsidRPr="00C24E88">
        <w:t xml:space="preserve">GPR: </w:t>
      </w:r>
      <w:r w:rsidRPr="00C24E88">
        <w:rPr>
          <w:i/>
        </w:rPr>
        <w:t xml:space="preserve">Global </w:t>
      </w:r>
      <w:proofErr w:type="spellStart"/>
      <w:r w:rsidRPr="00C24E88">
        <w:rPr>
          <w:i/>
        </w:rPr>
        <w:t>Power</w:t>
      </w:r>
      <w:proofErr w:type="spellEnd"/>
      <w:r w:rsidRPr="00C24E88">
        <w:rPr>
          <w:i/>
        </w:rPr>
        <w:t xml:space="preserve"> </w:t>
      </w:r>
      <w:proofErr w:type="spellStart"/>
      <w:r w:rsidRPr="00C24E88">
        <w:rPr>
          <w:i/>
        </w:rPr>
        <w:t>Report</w:t>
      </w:r>
      <w:proofErr w:type="spellEnd"/>
      <w:r w:rsidRPr="00C24E88">
        <w:t xml:space="preserve">, </w:t>
      </w:r>
      <w:proofErr w:type="spellStart"/>
      <w:r w:rsidRPr="00C24E88">
        <w:t>Platts</w:t>
      </w:r>
      <w:proofErr w:type="spellEnd"/>
      <w:r w:rsidRPr="00C24E88">
        <w:t>.</w:t>
      </w:r>
    </w:p>
    <w:p w:rsidR="000322F5" w:rsidRPr="00C24E88" w:rsidRDefault="000322F5" w:rsidP="00600C49">
      <w:pPr>
        <w:spacing w:before="100" w:beforeAutospacing="1" w:after="100" w:afterAutospacing="1" w:line="276" w:lineRule="auto"/>
      </w:pPr>
      <w:r w:rsidRPr="00C24E88">
        <w:t xml:space="preserve">ISO: </w:t>
      </w:r>
      <w:proofErr w:type="spellStart"/>
      <w:r w:rsidRPr="00C24E88">
        <w:rPr>
          <w:i/>
        </w:rPr>
        <w:t>Independent</w:t>
      </w:r>
      <w:proofErr w:type="spellEnd"/>
      <w:r w:rsidRPr="00C24E88">
        <w:rPr>
          <w:i/>
        </w:rPr>
        <w:t xml:space="preserve"> </w:t>
      </w:r>
      <w:proofErr w:type="spellStart"/>
      <w:r w:rsidRPr="00C24E88">
        <w:rPr>
          <w:i/>
        </w:rPr>
        <w:t>system</w:t>
      </w:r>
      <w:proofErr w:type="spellEnd"/>
      <w:r w:rsidRPr="00C24E88">
        <w:rPr>
          <w:i/>
        </w:rPr>
        <w:t xml:space="preserve"> </w:t>
      </w:r>
      <w:proofErr w:type="spellStart"/>
      <w:r w:rsidRPr="00C24E88">
        <w:rPr>
          <w:i/>
        </w:rPr>
        <w:t>operator</w:t>
      </w:r>
      <w:proofErr w:type="spellEnd"/>
      <w:r w:rsidRPr="00C24E88">
        <w:t>. Operador independiente del sistema.</w:t>
      </w:r>
    </w:p>
    <w:p w:rsidR="000322F5" w:rsidRPr="00C24E88" w:rsidRDefault="000322F5" w:rsidP="00600C49">
      <w:pPr>
        <w:spacing w:before="100" w:beforeAutospacing="1" w:after="100" w:afterAutospacing="1" w:line="276" w:lineRule="auto"/>
      </w:pPr>
      <w:r w:rsidRPr="000322F5">
        <w:rPr>
          <w:lang w:val="en-US"/>
        </w:rPr>
        <w:t xml:space="preserve">MISO: </w:t>
      </w:r>
      <w:r w:rsidRPr="000322F5">
        <w:rPr>
          <w:i/>
          <w:lang w:val="en-US"/>
        </w:rPr>
        <w:t>Midwest independent system operator</w:t>
      </w:r>
      <w:r w:rsidRPr="000322F5">
        <w:rPr>
          <w:lang w:val="en-US"/>
        </w:rPr>
        <w:t xml:space="preserve">. </w:t>
      </w:r>
      <w:r w:rsidRPr="00C24E88">
        <w:t xml:space="preserve">Incluye gran parte de North Dakota, South Dakota, Nebraska, Minnesota, Iowa, Wisconsin, Illinois, Indiana, Michigan y partes </w:t>
      </w:r>
      <w:proofErr w:type="spellStart"/>
      <w:r w:rsidRPr="00C24E88">
        <w:t>deMontana</w:t>
      </w:r>
      <w:proofErr w:type="spellEnd"/>
      <w:r w:rsidRPr="00C24E88">
        <w:t xml:space="preserve">, </w:t>
      </w:r>
      <w:proofErr w:type="spellStart"/>
      <w:r w:rsidRPr="00C24E88">
        <w:t>Mossouri</w:t>
      </w:r>
      <w:proofErr w:type="spellEnd"/>
      <w:r w:rsidRPr="00C24E88">
        <w:t>, Kentucky y Ohio.</w:t>
      </w:r>
    </w:p>
    <w:p w:rsidR="000322F5" w:rsidRPr="00C24E88" w:rsidRDefault="000322F5" w:rsidP="00600C49">
      <w:pPr>
        <w:spacing w:before="100" w:beforeAutospacing="1" w:after="100" w:afterAutospacing="1" w:line="276" w:lineRule="auto"/>
      </w:pPr>
      <w:proofErr w:type="spellStart"/>
      <w:r w:rsidRPr="00C24E88">
        <w:t>NMa</w:t>
      </w:r>
      <w:proofErr w:type="spellEnd"/>
      <w:r w:rsidRPr="00C24E88">
        <w:t xml:space="preserve">: </w:t>
      </w:r>
      <w:proofErr w:type="spellStart"/>
      <w:r w:rsidRPr="00C24E88">
        <w:rPr>
          <w:i/>
        </w:rPr>
        <w:t>Nederlandse</w:t>
      </w:r>
      <w:proofErr w:type="spellEnd"/>
      <w:r w:rsidRPr="00C24E88">
        <w:rPr>
          <w:i/>
        </w:rPr>
        <w:t xml:space="preserve"> </w:t>
      </w:r>
      <w:proofErr w:type="spellStart"/>
      <w:r w:rsidRPr="00C24E88">
        <w:rPr>
          <w:i/>
        </w:rPr>
        <w:t>Mededingingsautoriteit</w:t>
      </w:r>
      <w:proofErr w:type="spellEnd"/>
      <w:r w:rsidRPr="00C24E88">
        <w:rPr>
          <w:i/>
        </w:rPr>
        <w:t>,</w:t>
      </w:r>
      <w:r w:rsidRPr="00C24E88">
        <w:t xml:space="preserve"> Regulador de competencia de los </w:t>
      </w:r>
      <w:proofErr w:type="spellStart"/>
      <w:r w:rsidRPr="00C24E88">
        <w:t>Paises</w:t>
      </w:r>
      <w:proofErr w:type="spellEnd"/>
      <w:r w:rsidRPr="00C24E88">
        <w:t xml:space="preserve"> Bajos.</w:t>
      </w:r>
    </w:p>
    <w:p w:rsidR="000322F5" w:rsidRPr="00C24E88" w:rsidRDefault="000322F5" w:rsidP="00600C49">
      <w:pPr>
        <w:spacing w:before="100" w:beforeAutospacing="1" w:after="100" w:afterAutospacing="1" w:line="276" w:lineRule="auto"/>
      </w:pPr>
      <w:proofErr w:type="spellStart"/>
      <w:r w:rsidRPr="00C24E88">
        <w:t>PGNiG</w:t>
      </w:r>
      <w:proofErr w:type="spellEnd"/>
      <w:r w:rsidRPr="00C24E88">
        <w:t xml:space="preserve">: </w:t>
      </w:r>
      <w:proofErr w:type="spellStart"/>
      <w:r w:rsidRPr="00C24E88">
        <w:rPr>
          <w:i/>
        </w:rPr>
        <w:t>Polskie</w:t>
      </w:r>
      <w:proofErr w:type="spellEnd"/>
      <w:r w:rsidRPr="00C24E88">
        <w:rPr>
          <w:i/>
        </w:rPr>
        <w:t xml:space="preserve"> </w:t>
      </w:r>
      <w:proofErr w:type="spellStart"/>
      <w:r w:rsidRPr="00C24E88">
        <w:rPr>
          <w:i/>
        </w:rPr>
        <w:t>Górnictwo</w:t>
      </w:r>
      <w:proofErr w:type="spellEnd"/>
      <w:r w:rsidRPr="00C24E88">
        <w:rPr>
          <w:i/>
        </w:rPr>
        <w:t xml:space="preserve"> </w:t>
      </w:r>
      <w:proofErr w:type="spellStart"/>
      <w:r w:rsidRPr="00C24E88">
        <w:rPr>
          <w:i/>
        </w:rPr>
        <w:t>Naftowe</w:t>
      </w:r>
      <w:proofErr w:type="spellEnd"/>
      <w:r w:rsidRPr="00C24E88">
        <w:rPr>
          <w:i/>
        </w:rPr>
        <w:t xml:space="preserve"> i </w:t>
      </w:r>
      <w:proofErr w:type="spellStart"/>
      <w:r w:rsidRPr="00C24E88">
        <w:rPr>
          <w:i/>
        </w:rPr>
        <w:t>Gazownictwo</w:t>
      </w:r>
      <w:proofErr w:type="spellEnd"/>
      <w:r w:rsidRPr="00C24E88">
        <w:rPr>
          <w:i/>
        </w:rPr>
        <w:t>,</w:t>
      </w:r>
      <w:r w:rsidRPr="00C24E88">
        <w:t xml:space="preserve"> empresa estatal polaca de petróleo y gas.</w:t>
      </w:r>
    </w:p>
    <w:p w:rsidR="000322F5" w:rsidRPr="005A1103" w:rsidRDefault="000322F5" w:rsidP="00600C49">
      <w:pPr>
        <w:spacing w:before="100" w:beforeAutospacing="1" w:after="100" w:afterAutospacing="1" w:line="276" w:lineRule="auto"/>
      </w:pPr>
      <w:r w:rsidRPr="005A1103">
        <w:t xml:space="preserve">PIE: </w:t>
      </w:r>
      <w:proofErr w:type="spellStart"/>
      <w:r w:rsidRPr="005A1103">
        <w:rPr>
          <w:i/>
        </w:rPr>
        <w:t>Power</w:t>
      </w:r>
      <w:proofErr w:type="spellEnd"/>
      <w:r w:rsidRPr="005A1103">
        <w:rPr>
          <w:i/>
        </w:rPr>
        <w:t xml:space="preserve"> in </w:t>
      </w:r>
      <w:proofErr w:type="spellStart"/>
      <w:r w:rsidRPr="005A1103">
        <w:rPr>
          <w:i/>
        </w:rPr>
        <w:t>Europe</w:t>
      </w:r>
      <w:proofErr w:type="spellEnd"/>
      <w:r w:rsidRPr="005A1103">
        <w:t xml:space="preserve">, </w:t>
      </w:r>
      <w:proofErr w:type="spellStart"/>
      <w:r w:rsidRPr="005A1103">
        <w:t>Platts</w:t>
      </w:r>
      <w:proofErr w:type="spellEnd"/>
    </w:p>
    <w:p w:rsidR="000322F5" w:rsidRPr="005A1103" w:rsidRDefault="000322F5" w:rsidP="00600C49">
      <w:pPr>
        <w:spacing w:before="100" w:beforeAutospacing="1" w:after="100" w:afterAutospacing="1" w:line="276" w:lineRule="auto"/>
      </w:pPr>
      <w:r w:rsidRPr="005A1103">
        <w:t xml:space="preserve">PJM </w:t>
      </w:r>
      <w:proofErr w:type="spellStart"/>
      <w:r w:rsidRPr="005A1103">
        <w:t>Interconnection</w:t>
      </w:r>
      <w:proofErr w:type="spellEnd"/>
      <w:r w:rsidRPr="005A1103">
        <w:t xml:space="preserve">: Organización regional de transporte de electricidad (regional </w:t>
      </w:r>
      <w:proofErr w:type="spellStart"/>
      <w:r w:rsidRPr="005A1103">
        <w:t>transmission</w:t>
      </w:r>
      <w:proofErr w:type="spellEnd"/>
      <w:r w:rsidRPr="005A1103">
        <w:t xml:space="preserve"> </w:t>
      </w:r>
      <w:proofErr w:type="spellStart"/>
      <w:r w:rsidRPr="005A1103">
        <w:t>organization</w:t>
      </w:r>
      <w:proofErr w:type="spellEnd"/>
      <w:r w:rsidRPr="005A1103">
        <w:t xml:space="preserve"> -RTO) que coordina los movimientos de electricidad mayoristas en parte o en su totalidad de los siguientes estados: Delaware, Illinois, Indiana, Kentucky, Maryland, Michigan, New Jersey, North Carolina, Ohio, Pennsylvania, Tennessee, Virginia, West Virginia y el Distrito de Columbia.</w:t>
      </w:r>
    </w:p>
    <w:p w:rsidR="000322F5" w:rsidRPr="005A1103" w:rsidRDefault="000322F5" w:rsidP="00600C49">
      <w:pPr>
        <w:spacing w:before="100" w:beforeAutospacing="1" w:after="100" w:afterAutospacing="1" w:line="276" w:lineRule="auto"/>
        <w:rPr>
          <w:lang w:val="en-US"/>
        </w:rPr>
      </w:pPr>
      <w:r w:rsidRPr="005A1103">
        <w:t xml:space="preserve">PNA: Plan nacional de asignación. </w:t>
      </w:r>
      <w:r w:rsidRPr="005A1103">
        <w:rPr>
          <w:lang w:val="en-US"/>
        </w:rPr>
        <w:t>(</w:t>
      </w:r>
      <w:r w:rsidRPr="005A1103">
        <w:rPr>
          <w:i/>
          <w:lang w:val="en-US"/>
        </w:rPr>
        <w:t>National Allocation Plan</w:t>
      </w:r>
      <w:r w:rsidRPr="005A1103">
        <w:rPr>
          <w:lang w:val="en-US"/>
        </w:rPr>
        <w:t>)</w:t>
      </w:r>
    </w:p>
    <w:p w:rsidR="000322F5" w:rsidRPr="005A1103" w:rsidRDefault="000322F5" w:rsidP="00600C49">
      <w:pPr>
        <w:spacing w:before="100" w:beforeAutospacing="1" w:after="100" w:afterAutospacing="1" w:line="276" w:lineRule="auto"/>
      </w:pPr>
      <w:r w:rsidRPr="005A1103">
        <w:rPr>
          <w:lang w:val="en-US"/>
        </w:rPr>
        <w:t xml:space="preserve">PPA: </w:t>
      </w:r>
      <w:r w:rsidRPr="005A1103">
        <w:rPr>
          <w:i/>
          <w:lang w:val="en-US"/>
        </w:rPr>
        <w:t>power purchase agreements</w:t>
      </w:r>
      <w:r w:rsidRPr="005A1103">
        <w:rPr>
          <w:lang w:val="en-US"/>
        </w:rPr>
        <w:t xml:space="preserve">. </w:t>
      </w:r>
      <w:r w:rsidRPr="005A1103">
        <w:t>Acuerdos de compra de energía.</w:t>
      </w:r>
    </w:p>
    <w:p w:rsidR="000322F5" w:rsidRPr="005A1103" w:rsidRDefault="000322F5" w:rsidP="00600C49">
      <w:pPr>
        <w:spacing w:before="100" w:beforeAutospacing="1" w:after="100" w:afterAutospacing="1" w:line="276" w:lineRule="auto"/>
      </w:pPr>
      <w:r w:rsidRPr="005A1103">
        <w:t xml:space="preserve">PSUC: </w:t>
      </w:r>
      <w:proofErr w:type="spellStart"/>
      <w:r w:rsidRPr="005A1103">
        <w:t>Public</w:t>
      </w:r>
      <w:proofErr w:type="spellEnd"/>
      <w:r w:rsidRPr="005A1103">
        <w:t xml:space="preserve"> </w:t>
      </w:r>
      <w:proofErr w:type="spellStart"/>
      <w:r w:rsidRPr="005A1103">
        <w:t>State</w:t>
      </w:r>
      <w:proofErr w:type="spellEnd"/>
      <w:r w:rsidRPr="005A1103">
        <w:t xml:space="preserve"> </w:t>
      </w:r>
      <w:proofErr w:type="spellStart"/>
      <w:r w:rsidRPr="005A1103">
        <w:t>Utility</w:t>
      </w:r>
      <w:proofErr w:type="spellEnd"/>
      <w:r w:rsidRPr="005A1103">
        <w:t xml:space="preserve"> </w:t>
      </w:r>
      <w:proofErr w:type="spellStart"/>
      <w:r w:rsidRPr="005A1103">
        <w:t>Commission</w:t>
      </w:r>
      <w:proofErr w:type="spellEnd"/>
      <w:r w:rsidRPr="005A1103">
        <w:t xml:space="preserve">, Agencias que regulan a nivel estatal las </w:t>
      </w:r>
      <w:proofErr w:type="spellStart"/>
      <w:r w:rsidRPr="005A1103">
        <w:rPr>
          <w:i/>
        </w:rPr>
        <w:t>utilities</w:t>
      </w:r>
      <w:proofErr w:type="spellEnd"/>
      <w:r w:rsidRPr="005A1103">
        <w:t xml:space="preserve"> de servicios esenciales.</w:t>
      </w:r>
    </w:p>
    <w:p w:rsidR="000322F5" w:rsidRPr="005A1103" w:rsidRDefault="000322F5" w:rsidP="00600C49">
      <w:pPr>
        <w:spacing w:before="100" w:beforeAutospacing="1" w:after="100" w:afterAutospacing="1" w:line="276" w:lineRule="auto"/>
      </w:pPr>
      <w:r w:rsidRPr="005A1103">
        <w:t xml:space="preserve">PUC: </w:t>
      </w:r>
      <w:proofErr w:type="spellStart"/>
      <w:r w:rsidRPr="005A1103">
        <w:rPr>
          <w:i/>
        </w:rPr>
        <w:t>Public</w:t>
      </w:r>
      <w:proofErr w:type="spellEnd"/>
      <w:r w:rsidRPr="005A1103">
        <w:rPr>
          <w:i/>
        </w:rPr>
        <w:t xml:space="preserve"> </w:t>
      </w:r>
      <w:proofErr w:type="spellStart"/>
      <w:r w:rsidRPr="005A1103">
        <w:rPr>
          <w:i/>
        </w:rPr>
        <w:t>Utility</w:t>
      </w:r>
      <w:proofErr w:type="spellEnd"/>
      <w:r w:rsidRPr="005A1103">
        <w:rPr>
          <w:i/>
        </w:rPr>
        <w:t xml:space="preserve"> </w:t>
      </w:r>
      <w:proofErr w:type="spellStart"/>
      <w:r w:rsidRPr="005A1103">
        <w:rPr>
          <w:i/>
        </w:rPr>
        <w:t>Commission</w:t>
      </w:r>
      <w:proofErr w:type="spellEnd"/>
      <w:r w:rsidRPr="005A1103">
        <w:t xml:space="preserve">. Agencias que regulan a nivel estatal las </w:t>
      </w:r>
      <w:proofErr w:type="spellStart"/>
      <w:r w:rsidRPr="005A1103">
        <w:rPr>
          <w:i/>
        </w:rPr>
        <w:t>utilities</w:t>
      </w:r>
      <w:proofErr w:type="spellEnd"/>
      <w:r w:rsidRPr="005A1103">
        <w:t xml:space="preserve"> de servicios esenciales.</w:t>
      </w:r>
    </w:p>
    <w:p w:rsidR="000322F5" w:rsidRPr="00C24E88" w:rsidRDefault="000322F5" w:rsidP="00600C49">
      <w:pPr>
        <w:spacing w:before="100" w:beforeAutospacing="1" w:after="100" w:afterAutospacing="1" w:line="276" w:lineRule="auto"/>
        <w:rPr>
          <w:lang w:val="en-US"/>
        </w:rPr>
      </w:pPr>
      <w:r w:rsidRPr="00C24E88">
        <w:rPr>
          <w:lang w:val="en-US"/>
        </w:rPr>
        <w:t xml:space="preserve">RER: </w:t>
      </w:r>
      <w:r w:rsidRPr="00C24E88">
        <w:rPr>
          <w:i/>
          <w:lang w:val="en-US"/>
        </w:rPr>
        <w:t>Renewable Energy Report</w:t>
      </w:r>
      <w:r w:rsidRPr="00C24E88">
        <w:rPr>
          <w:lang w:val="en-US"/>
        </w:rPr>
        <w:t xml:space="preserve">, </w:t>
      </w:r>
      <w:proofErr w:type="spellStart"/>
      <w:r w:rsidRPr="00C24E88">
        <w:rPr>
          <w:lang w:val="en-US"/>
        </w:rPr>
        <w:t>Platts</w:t>
      </w:r>
      <w:proofErr w:type="spellEnd"/>
    </w:p>
    <w:p w:rsidR="000322F5" w:rsidRPr="00C24E88" w:rsidRDefault="000322F5" w:rsidP="00600C49">
      <w:pPr>
        <w:spacing w:before="100" w:beforeAutospacing="1" w:after="100" w:afterAutospacing="1" w:line="276" w:lineRule="auto"/>
        <w:rPr>
          <w:lang w:val="en-US"/>
        </w:rPr>
      </w:pPr>
      <w:r w:rsidRPr="00C24E88">
        <w:rPr>
          <w:lang w:val="en-US"/>
        </w:rPr>
        <w:t xml:space="preserve">RPS: </w:t>
      </w:r>
      <w:r w:rsidRPr="00C24E88">
        <w:rPr>
          <w:i/>
          <w:lang w:val="en-US"/>
        </w:rPr>
        <w:t>renewable portfolio standard.</w:t>
      </w:r>
      <w:r w:rsidRPr="00C24E88">
        <w:rPr>
          <w:lang w:val="en-US"/>
        </w:rPr>
        <w:t xml:space="preserve"> </w:t>
      </w:r>
    </w:p>
    <w:p w:rsidR="000322F5" w:rsidRPr="00C24E88" w:rsidRDefault="000322F5" w:rsidP="00600C49">
      <w:pPr>
        <w:spacing w:before="100" w:beforeAutospacing="1" w:after="100" w:afterAutospacing="1" w:line="276" w:lineRule="auto"/>
        <w:rPr>
          <w:lang w:val="fr-FR"/>
        </w:rPr>
      </w:pPr>
      <w:r w:rsidRPr="000322F5">
        <w:t xml:space="preserve">RTO: </w:t>
      </w:r>
      <w:r w:rsidRPr="000322F5">
        <w:rPr>
          <w:i/>
        </w:rPr>
        <w:t xml:space="preserve">Regional </w:t>
      </w:r>
      <w:proofErr w:type="spellStart"/>
      <w:r w:rsidRPr="000322F5">
        <w:rPr>
          <w:i/>
        </w:rPr>
        <w:t>transmission</w:t>
      </w:r>
      <w:proofErr w:type="spellEnd"/>
      <w:r w:rsidRPr="000322F5">
        <w:rPr>
          <w:i/>
        </w:rPr>
        <w:t xml:space="preserve"> </w:t>
      </w:r>
      <w:proofErr w:type="spellStart"/>
      <w:r w:rsidRPr="000322F5">
        <w:rPr>
          <w:i/>
        </w:rPr>
        <w:t>operator</w:t>
      </w:r>
      <w:proofErr w:type="spellEnd"/>
      <w:r w:rsidRPr="000322F5">
        <w:t xml:space="preserve">. </w:t>
      </w:r>
      <w:proofErr w:type="spellStart"/>
      <w:r w:rsidRPr="00C24E88">
        <w:rPr>
          <w:lang w:val="fr-FR"/>
        </w:rPr>
        <w:t>Operador</w:t>
      </w:r>
      <w:proofErr w:type="spellEnd"/>
      <w:r w:rsidRPr="00C24E88">
        <w:rPr>
          <w:lang w:val="fr-FR"/>
        </w:rPr>
        <w:t xml:space="preserve"> </w:t>
      </w:r>
      <w:proofErr w:type="spellStart"/>
      <w:r w:rsidRPr="00C24E88">
        <w:rPr>
          <w:lang w:val="fr-FR"/>
        </w:rPr>
        <w:t>regional</w:t>
      </w:r>
      <w:proofErr w:type="spellEnd"/>
      <w:r w:rsidRPr="00C24E88">
        <w:rPr>
          <w:lang w:val="fr-FR"/>
        </w:rPr>
        <w:t xml:space="preserve"> de transporte.</w:t>
      </w:r>
    </w:p>
    <w:p w:rsidR="000322F5" w:rsidRPr="00C34BD3" w:rsidRDefault="000322F5" w:rsidP="00600C49">
      <w:pPr>
        <w:spacing w:before="100" w:beforeAutospacing="1" w:after="100" w:afterAutospacing="1" w:line="276" w:lineRule="auto"/>
        <w:rPr>
          <w:lang w:val="fr-FR"/>
        </w:rPr>
      </w:pPr>
      <w:r w:rsidRPr="00C34BD3">
        <w:rPr>
          <w:lang w:val="fr-FR"/>
        </w:rPr>
        <w:t xml:space="preserve">RTE: Réseau de transport d’électricité, </w:t>
      </w:r>
      <w:proofErr w:type="spellStart"/>
      <w:r w:rsidRPr="00C34BD3">
        <w:rPr>
          <w:lang w:val="fr-FR"/>
        </w:rPr>
        <w:t>operador</w:t>
      </w:r>
      <w:proofErr w:type="spellEnd"/>
      <w:r w:rsidRPr="00C34BD3">
        <w:rPr>
          <w:lang w:val="fr-FR"/>
        </w:rPr>
        <w:t xml:space="preserve"> de </w:t>
      </w:r>
      <w:proofErr w:type="spellStart"/>
      <w:r w:rsidRPr="00C34BD3">
        <w:rPr>
          <w:lang w:val="fr-FR"/>
        </w:rPr>
        <w:t>red</w:t>
      </w:r>
      <w:proofErr w:type="spellEnd"/>
      <w:r w:rsidRPr="00C34BD3">
        <w:rPr>
          <w:lang w:val="fr-FR"/>
        </w:rPr>
        <w:t xml:space="preserve"> </w:t>
      </w:r>
      <w:proofErr w:type="spellStart"/>
      <w:r w:rsidRPr="00C34BD3">
        <w:rPr>
          <w:lang w:val="fr-FR"/>
        </w:rPr>
        <w:t>francés</w:t>
      </w:r>
      <w:proofErr w:type="spellEnd"/>
      <w:r w:rsidRPr="00C34BD3">
        <w:rPr>
          <w:lang w:val="fr-FR"/>
        </w:rPr>
        <w:t>.</w:t>
      </w:r>
    </w:p>
    <w:p w:rsidR="000322F5" w:rsidRPr="000322F5" w:rsidRDefault="000322F5" w:rsidP="00600C49">
      <w:pPr>
        <w:spacing w:before="100" w:beforeAutospacing="1" w:after="100" w:afterAutospacing="1" w:line="276" w:lineRule="auto"/>
        <w:rPr>
          <w:lang w:val="fr-FR"/>
        </w:rPr>
      </w:pPr>
      <w:r w:rsidRPr="00C24E88">
        <w:rPr>
          <w:lang w:val="fr-FR"/>
        </w:rPr>
        <w:t xml:space="preserve">SPP: </w:t>
      </w:r>
      <w:proofErr w:type="spellStart"/>
      <w:r w:rsidRPr="00C24E88">
        <w:rPr>
          <w:i/>
          <w:lang w:val="fr-FR"/>
        </w:rPr>
        <w:t>Southwest</w:t>
      </w:r>
      <w:proofErr w:type="spellEnd"/>
      <w:r w:rsidRPr="00C24E88">
        <w:rPr>
          <w:i/>
          <w:lang w:val="fr-FR"/>
        </w:rPr>
        <w:t xml:space="preserve"> Power Pool</w:t>
      </w:r>
      <w:r w:rsidRPr="00C24E88">
        <w:rPr>
          <w:lang w:val="fr-FR"/>
        </w:rPr>
        <w:t xml:space="preserve">. </w:t>
      </w:r>
      <w:r w:rsidRPr="000322F5">
        <w:rPr>
          <w:i/>
          <w:lang w:val="fr-FR"/>
        </w:rPr>
        <w:t xml:space="preserve">Independent system </w:t>
      </w:r>
      <w:proofErr w:type="spellStart"/>
      <w:r w:rsidRPr="000322F5">
        <w:rPr>
          <w:i/>
          <w:lang w:val="fr-FR"/>
        </w:rPr>
        <w:t>operator</w:t>
      </w:r>
      <w:proofErr w:type="spellEnd"/>
      <w:r w:rsidRPr="000322F5">
        <w:rPr>
          <w:lang w:val="fr-FR"/>
        </w:rPr>
        <w:t xml:space="preserve"> que </w:t>
      </w:r>
      <w:proofErr w:type="spellStart"/>
      <w:r w:rsidRPr="000322F5">
        <w:rPr>
          <w:lang w:val="fr-FR"/>
        </w:rPr>
        <w:t>incluye</w:t>
      </w:r>
      <w:proofErr w:type="spellEnd"/>
      <w:r w:rsidRPr="000322F5">
        <w:rPr>
          <w:lang w:val="fr-FR"/>
        </w:rPr>
        <w:t xml:space="preserve"> los </w:t>
      </w:r>
      <w:proofErr w:type="spellStart"/>
      <w:r w:rsidRPr="000322F5">
        <w:rPr>
          <w:lang w:val="fr-FR"/>
        </w:rPr>
        <w:t>estados</w:t>
      </w:r>
      <w:proofErr w:type="spellEnd"/>
      <w:r w:rsidRPr="000322F5">
        <w:rPr>
          <w:lang w:val="fr-FR"/>
        </w:rPr>
        <w:t xml:space="preserve"> de Kansas Oklahoma y parte de New Mexico, Texas, </w:t>
      </w:r>
      <w:proofErr w:type="spellStart"/>
      <w:r w:rsidRPr="000322F5">
        <w:rPr>
          <w:lang w:val="fr-FR"/>
        </w:rPr>
        <w:t>Louisiana</w:t>
      </w:r>
      <w:proofErr w:type="spellEnd"/>
      <w:r w:rsidRPr="000322F5">
        <w:rPr>
          <w:lang w:val="fr-FR"/>
        </w:rPr>
        <w:t>, Missouri, Mississippi y Arkansas.</w:t>
      </w:r>
    </w:p>
    <w:p w:rsidR="000322F5" w:rsidRPr="000322F5" w:rsidRDefault="000322F5" w:rsidP="00600C49">
      <w:pPr>
        <w:spacing w:before="100" w:beforeAutospacing="1" w:after="100" w:afterAutospacing="1" w:line="276" w:lineRule="auto"/>
        <w:rPr>
          <w:lang w:val="en-US"/>
        </w:rPr>
      </w:pPr>
      <w:r w:rsidRPr="000322F5">
        <w:rPr>
          <w:lang w:val="en-US"/>
        </w:rPr>
        <w:t xml:space="preserve">TAP: Trans Adriatic Pipeline. Joint Venture (JV) entre EGL </w:t>
      </w:r>
      <w:proofErr w:type="spellStart"/>
      <w:r w:rsidRPr="000322F5">
        <w:rPr>
          <w:lang w:val="en-US"/>
        </w:rPr>
        <w:t>Suiza</w:t>
      </w:r>
      <w:proofErr w:type="spellEnd"/>
      <w:r w:rsidRPr="000322F5">
        <w:rPr>
          <w:lang w:val="en-US"/>
        </w:rPr>
        <w:t xml:space="preserve"> (42</w:t>
      </w:r>
      <w:proofErr w:type="gramStart"/>
      <w:r w:rsidRPr="000322F5">
        <w:rPr>
          <w:lang w:val="en-US"/>
        </w:rPr>
        <w:t>,5</w:t>
      </w:r>
      <w:proofErr w:type="gramEnd"/>
      <w:r w:rsidRPr="000322F5">
        <w:rPr>
          <w:lang w:val="en-US"/>
        </w:rPr>
        <w:t xml:space="preserve">%), Statoil </w:t>
      </w:r>
      <w:proofErr w:type="spellStart"/>
      <w:r w:rsidRPr="000322F5">
        <w:rPr>
          <w:lang w:val="en-US"/>
        </w:rPr>
        <w:t>Noruega</w:t>
      </w:r>
      <w:proofErr w:type="spellEnd"/>
      <w:r w:rsidRPr="000322F5">
        <w:rPr>
          <w:lang w:val="en-US"/>
        </w:rPr>
        <w:t xml:space="preserve"> (42,5%) y EON </w:t>
      </w:r>
      <w:proofErr w:type="spellStart"/>
      <w:r w:rsidRPr="000322F5">
        <w:rPr>
          <w:lang w:val="en-US"/>
        </w:rPr>
        <w:t>Ruhrgas</w:t>
      </w:r>
      <w:proofErr w:type="spellEnd"/>
      <w:r w:rsidRPr="000322F5">
        <w:rPr>
          <w:lang w:val="en-US"/>
        </w:rPr>
        <w:t xml:space="preserve"> </w:t>
      </w:r>
      <w:proofErr w:type="spellStart"/>
      <w:r w:rsidRPr="000322F5">
        <w:rPr>
          <w:lang w:val="en-US"/>
        </w:rPr>
        <w:t>Alemania</w:t>
      </w:r>
      <w:proofErr w:type="spellEnd"/>
      <w:r w:rsidRPr="000322F5">
        <w:rPr>
          <w:lang w:val="en-US"/>
        </w:rPr>
        <w:t xml:space="preserve"> (15%).</w:t>
      </w:r>
    </w:p>
    <w:p w:rsidR="000322F5" w:rsidRDefault="000322F5" w:rsidP="002D3561">
      <w:pPr>
        <w:spacing w:before="100" w:beforeAutospacing="1" w:after="100" w:afterAutospacing="1" w:line="276" w:lineRule="auto"/>
      </w:pPr>
      <w:r w:rsidRPr="005A1103">
        <w:rPr>
          <w:lang w:val="en-US"/>
        </w:rPr>
        <w:t>U</w:t>
      </w:r>
      <w:r w:rsidR="002D3561">
        <w:rPr>
          <w:lang w:val="en-US"/>
        </w:rPr>
        <w:t xml:space="preserve">SD: </w:t>
      </w:r>
      <w:proofErr w:type="spellStart"/>
      <w:r w:rsidR="002D3561">
        <w:rPr>
          <w:lang w:val="en-US"/>
        </w:rPr>
        <w:t>Dó</w:t>
      </w:r>
      <w:r w:rsidRPr="005A1103">
        <w:rPr>
          <w:lang w:val="en-US"/>
        </w:rPr>
        <w:t>lar</w:t>
      </w:r>
      <w:proofErr w:type="spellEnd"/>
      <w:r w:rsidRPr="005A1103">
        <w:rPr>
          <w:lang w:val="en-US"/>
        </w:rPr>
        <w:t xml:space="preserve"> Americano</w:t>
      </w:r>
    </w:p>
    <w:sectPr w:rsidR="000322F5" w:rsidSect="005276F6">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4B" w:rsidRDefault="0035014B" w:rsidP="006A35D8">
      <w:r>
        <w:separator/>
      </w:r>
    </w:p>
  </w:endnote>
  <w:endnote w:type="continuationSeparator" w:id="0">
    <w:p w:rsidR="0035014B" w:rsidRDefault="0035014B" w:rsidP="006A35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6" w:rsidRDefault="004011D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80783547"/>
      <w:docPartObj>
        <w:docPartGallery w:val="Page Numbers (Bottom of Page)"/>
        <w:docPartUnique/>
      </w:docPartObj>
    </w:sdtPr>
    <w:sdtEndPr>
      <w:rPr>
        <w:szCs w:val="22"/>
      </w:rPr>
    </w:sdtEndPr>
    <w:sdtContent>
      <w:p w:rsidR="00460B97" w:rsidRPr="00CF0576" w:rsidRDefault="002F3CFD" w:rsidP="00CF0576">
        <w:pPr>
          <w:pStyle w:val="Piedepgina"/>
          <w:tabs>
            <w:tab w:val="clear" w:pos="8504"/>
            <w:tab w:val="right" w:pos="8789"/>
          </w:tabs>
          <w:spacing w:after="0"/>
          <w:jc w:val="center"/>
          <w:rPr>
            <w:szCs w:val="20"/>
          </w:rPr>
        </w:pPr>
        <w:r w:rsidRPr="00CF0576">
          <w:rPr>
            <w:szCs w:val="20"/>
          </w:rPr>
          <w:fldChar w:fldCharType="begin"/>
        </w:r>
        <w:r w:rsidR="00460B97" w:rsidRPr="00CF0576">
          <w:rPr>
            <w:szCs w:val="20"/>
          </w:rPr>
          <w:instrText xml:space="preserve"> PAGE   \* MERGEFORMAT </w:instrText>
        </w:r>
        <w:r w:rsidRPr="00CF0576">
          <w:rPr>
            <w:szCs w:val="20"/>
          </w:rPr>
          <w:fldChar w:fldCharType="separate"/>
        </w:r>
        <w:r w:rsidR="004011D6">
          <w:rPr>
            <w:noProof/>
            <w:szCs w:val="20"/>
          </w:rPr>
          <w:t>1</w:t>
        </w:r>
        <w:r w:rsidRPr="00CF0576">
          <w:rPr>
            <w:szCs w:val="20"/>
          </w:rPr>
          <w:fldChar w:fldCharType="end"/>
        </w:r>
        <w:r w:rsidR="00460B97" w:rsidRPr="00CF0576">
          <w:rPr>
            <w:szCs w:val="20"/>
          </w:rPr>
          <w:t xml:space="preserve"> </w:t>
        </w:r>
        <w:r w:rsidR="00460B97" w:rsidRPr="00CF0576">
          <w:rPr>
            <w:rStyle w:val="Nmerodepgina"/>
            <w:szCs w:val="20"/>
          </w:rPr>
          <w:t xml:space="preserve">de </w:t>
        </w:r>
        <w:r w:rsidRPr="00CF0576">
          <w:rPr>
            <w:rStyle w:val="Nmerodepgina"/>
            <w:szCs w:val="20"/>
          </w:rPr>
          <w:fldChar w:fldCharType="begin"/>
        </w:r>
        <w:r w:rsidR="00460B97" w:rsidRPr="00CF0576">
          <w:rPr>
            <w:rStyle w:val="Nmerodepgina"/>
            <w:szCs w:val="20"/>
          </w:rPr>
          <w:instrText xml:space="preserve"> NUMPAGES </w:instrText>
        </w:r>
        <w:r w:rsidRPr="00CF0576">
          <w:rPr>
            <w:rStyle w:val="Nmerodepgina"/>
            <w:szCs w:val="20"/>
          </w:rPr>
          <w:fldChar w:fldCharType="separate"/>
        </w:r>
        <w:r w:rsidR="004011D6">
          <w:rPr>
            <w:rStyle w:val="Nmerodepgina"/>
            <w:noProof/>
            <w:szCs w:val="20"/>
          </w:rPr>
          <w:t>14</w:t>
        </w:r>
        <w:r w:rsidRPr="00CF0576">
          <w:rPr>
            <w:rStyle w:val="Nmerodepgina"/>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6" w:rsidRDefault="004011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4B" w:rsidRDefault="0035014B" w:rsidP="006A35D8">
      <w:r>
        <w:separator/>
      </w:r>
    </w:p>
  </w:footnote>
  <w:footnote w:type="continuationSeparator" w:id="0">
    <w:p w:rsidR="0035014B" w:rsidRDefault="0035014B" w:rsidP="006A3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6" w:rsidRDefault="004011D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97" w:rsidRDefault="00460B97" w:rsidP="006A35D8">
    <w:pPr>
      <w:pStyle w:val="Encabezado"/>
      <w:jc w:val="center"/>
    </w:pPr>
    <w:r>
      <w:rPr>
        <w:noProof/>
        <w:lang w:eastAsia="es-ES"/>
      </w:rPr>
      <w:drawing>
        <wp:inline distT="0" distB="0" distL="0" distR="0">
          <wp:extent cx="1248410" cy="77914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8410" cy="779145"/>
                  </a:xfrm>
                  <a:prstGeom prst="rect">
                    <a:avLst/>
                  </a:prstGeom>
                  <a:noFill/>
                  <a:ln w="9525">
                    <a:noFill/>
                    <a:miter lim="800000"/>
                    <a:headEnd/>
                    <a:tailEnd/>
                  </a:ln>
                </pic:spPr>
              </pic:pic>
            </a:graphicData>
          </a:graphic>
        </wp:inline>
      </w:drawing>
    </w:r>
    <w:r w:rsidR="002D3467" w:rsidRPr="002D3467">
      <w:rPr>
        <w:rFonts w:ascii="Times New Roman" w:hAnsi="Times New Roman"/>
        <w:snapToGrid w:val="0"/>
        <w:color w:val="000000"/>
        <w:w w:val="0"/>
        <w:sz w:val="0"/>
        <w:szCs w:val="0"/>
        <w:u w:color="000000"/>
        <w:bdr w:val="none" w:sz="0" w:space="0" w:color="000000"/>
        <w:shd w:val="clear" w:color="000000" w:fill="000000"/>
      </w:rPr>
      <w:t xml:space="preserve"> </w:t>
    </w:r>
  </w:p>
  <w:p w:rsidR="00460B97" w:rsidRDefault="00460B97" w:rsidP="006A35D8">
    <w:pPr>
      <w:pStyle w:val="Encabezado"/>
      <w:jc w:val="center"/>
    </w:pPr>
  </w:p>
  <w:p w:rsidR="00460B97" w:rsidRDefault="00460B97" w:rsidP="006A35D8">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6" w:rsidRDefault="004011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409"/>
    <w:multiLevelType w:val="hybridMultilevel"/>
    <w:tmpl w:val="9CBEAEB8"/>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07D80A68"/>
    <w:multiLevelType w:val="hybridMultilevel"/>
    <w:tmpl w:val="CBA6435E"/>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95B09F2"/>
    <w:multiLevelType w:val="hybridMultilevel"/>
    <w:tmpl w:val="5E22C0E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D9001AE"/>
    <w:multiLevelType w:val="hybridMultilevel"/>
    <w:tmpl w:val="E32A66E0"/>
    <w:lvl w:ilvl="0" w:tplc="85F46870">
      <w:start w:val="1"/>
      <w:numFmt w:val="bullet"/>
      <w:pStyle w:val="Sinespaciado"/>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2561AE"/>
    <w:multiLevelType w:val="hybridMultilevel"/>
    <w:tmpl w:val="1E9CB0A6"/>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22C23471"/>
    <w:multiLevelType w:val="hybridMultilevel"/>
    <w:tmpl w:val="2898B732"/>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3EF477A"/>
    <w:multiLevelType w:val="hybridMultilevel"/>
    <w:tmpl w:val="B53EB8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2C6A3E"/>
    <w:multiLevelType w:val="hybridMultilevel"/>
    <w:tmpl w:val="1C38E37A"/>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5EB43F4"/>
    <w:multiLevelType w:val="hybridMultilevel"/>
    <w:tmpl w:val="7302A09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F6D7856"/>
    <w:multiLevelType w:val="hybridMultilevel"/>
    <w:tmpl w:val="902EB3A4"/>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62F294C"/>
    <w:multiLevelType w:val="hybridMultilevel"/>
    <w:tmpl w:val="E04C78C6"/>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nsid w:val="482331AB"/>
    <w:multiLevelType w:val="hybridMultilevel"/>
    <w:tmpl w:val="31BAF468"/>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482D3325"/>
    <w:multiLevelType w:val="hybridMultilevel"/>
    <w:tmpl w:val="B644F890"/>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1"/>
  </w:num>
  <w:num w:numId="4">
    <w:abstractNumId w:val="10"/>
  </w:num>
  <w:num w:numId="5">
    <w:abstractNumId w:val="9"/>
  </w:num>
  <w:num w:numId="6">
    <w:abstractNumId w:val="2"/>
  </w:num>
  <w:num w:numId="7">
    <w:abstractNumId w:val="5"/>
  </w:num>
  <w:num w:numId="8">
    <w:abstractNumId w:val="12"/>
  </w:num>
  <w:num w:numId="9">
    <w:abstractNumId w:val="1"/>
  </w:num>
  <w:num w:numId="10">
    <w:abstractNumId w:val="7"/>
  </w:num>
  <w:num w:numId="11">
    <w:abstractNumId w:val="6"/>
  </w:num>
  <w:num w:numId="12">
    <w:abstractNumId w:val="8"/>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movePersonalInformation/>
  <w:removeDateAndTime/>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rsids>
    <w:rsidRoot w:val="001D037C"/>
    <w:rsid w:val="000111EE"/>
    <w:rsid w:val="000144E0"/>
    <w:rsid w:val="0002147B"/>
    <w:rsid w:val="00024E2D"/>
    <w:rsid w:val="00030844"/>
    <w:rsid w:val="000322F5"/>
    <w:rsid w:val="0004383F"/>
    <w:rsid w:val="00044DF7"/>
    <w:rsid w:val="00081F85"/>
    <w:rsid w:val="0010081F"/>
    <w:rsid w:val="001103F9"/>
    <w:rsid w:val="00120342"/>
    <w:rsid w:val="00134D73"/>
    <w:rsid w:val="001C63F2"/>
    <w:rsid w:val="001C747F"/>
    <w:rsid w:val="001D037C"/>
    <w:rsid w:val="001D2C58"/>
    <w:rsid w:val="001D7BD7"/>
    <w:rsid w:val="002059B7"/>
    <w:rsid w:val="00216695"/>
    <w:rsid w:val="00224954"/>
    <w:rsid w:val="00235905"/>
    <w:rsid w:val="00265165"/>
    <w:rsid w:val="00276FDB"/>
    <w:rsid w:val="002909CA"/>
    <w:rsid w:val="00297298"/>
    <w:rsid w:val="002D3467"/>
    <w:rsid w:val="002D3561"/>
    <w:rsid w:val="002E1248"/>
    <w:rsid w:val="002E366F"/>
    <w:rsid w:val="002E3C29"/>
    <w:rsid w:val="002E5E34"/>
    <w:rsid w:val="002F3CFD"/>
    <w:rsid w:val="002F67E7"/>
    <w:rsid w:val="00331275"/>
    <w:rsid w:val="003429D5"/>
    <w:rsid w:val="0035014B"/>
    <w:rsid w:val="0039498E"/>
    <w:rsid w:val="003953CA"/>
    <w:rsid w:val="003F1D3E"/>
    <w:rsid w:val="003F43B0"/>
    <w:rsid w:val="004011D6"/>
    <w:rsid w:val="004026DD"/>
    <w:rsid w:val="004372E7"/>
    <w:rsid w:val="00444984"/>
    <w:rsid w:val="00460B97"/>
    <w:rsid w:val="00495563"/>
    <w:rsid w:val="00506A94"/>
    <w:rsid w:val="005276F6"/>
    <w:rsid w:val="00527934"/>
    <w:rsid w:val="005A3112"/>
    <w:rsid w:val="005B058E"/>
    <w:rsid w:val="005B71F7"/>
    <w:rsid w:val="005C0907"/>
    <w:rsid w:val="00600C49"/>
    <w:rsid w:val="006332AF"/>
    <w:rsid w:val="00660838"/>
    <w:rsid w:val="006759D6"/>
    <w:rsid w:val="00682B5F"/>
    <w:rsid w:val="00686469"/>
    <w:rsid w:val="006A35D8"/>
    <w:rsid w:val="006A3909"/>
    <w:rsid w:val="006C35BA"/>
    <w:rsid w:val="006D4B0E"/>
    <w:rsid w:val="006E1563"/>
    <w:rsid w:val="00741D2E"/>
    <w:rsid w:val="0074756B"/>
    <w:rsid w:val="00763821"/>
    <w:rsid w:val="00767745"/>
    <w:rsid w:val="007765B4"/>
    <w:rsid w:val="007A3BA5"/>
    <w:rsid w:val="007B622D"/>
    <w:rsid w:val="007B76C4"/>
    <w:rsid w:val="007E0631"/>
    <w:rsid w:val="007F0BDB"/>
    <w:rsid w:val="007F0C1E"/>
    <w:rsid w:val="007F62B8"/>
    <w:rsid w:val="00822644"/>
    <w:rsid w:val="0082341C"/>
    <w:rsid w:val="0083462B"/>
    <w:rsid w:val="0085069C"/>
    <w:rsid w:val="00870DCB"/>
    <w:rsid w:val="00887FB8"/>
    <w:rsid w:val="008C2602"/>
    <w:rsid w:val="008C3AD4"/>
    <w:rsid w:val="008C7211"/>
    <w:rsid w:val="008D2E18"/>
    <w:rsid w:val="008E1F63"/>
    <w:rsid w:val="008E20B9"/>
    <w:rsid w:val="00900D0C"/>
    <w:rsid w:val="009079B9"/>
    <w:rsid w:val="00930434"/>
    <w:rsid w:val="009659F9"/>
    <w:rsid w:val="00973ECD"/>
    <w:rsid w:val="00976C89"/>
    <w:rsid w:val="00982605"/>
    <w:rsid w:val="00991101"/>
    <w:rsid w:val="009A5602"/>
    <w:rsid w:val="009B5396"/>
    <w:rsid w:val="009F7497"/>
    <w:rsid w:val="00A16DE2"/>
    <w:rsid w:val="00A45DBD"/>
    <w:rsid w:val="00A654E5"/>
    <w:rsid w:val="00AA3F4C"/>
    <w:rsid w:val="00AD45CA"/>
    <w:rsid w:val="00AF7E2C"/>
    <w:rsid w:val="00B00F78"/>
    <w:rsid w:val="00B6524E"/>
    <w:rsid w:val="00B9004C"/>
    <w:rsid w:val="00BA15A5"/>
    <w:rsid w:val="00BC49DA"/>
    <w:rsid w:val="00BD0002"/>
    <w:rsid w:val="00C101A6"/>
    <w:rsid w:val="00C261BA"/>
    <w:rsid w:val="00C275AD"/>
    <w:rsid w:val="00C52E86"/>
    <w:rsid w:val="00C63707"/>
    <w:rsid w:val="00C83A97"/>
    <w:rsid w:val="00C95522"/>
    <w:rsid w:val="00C9656D"/>
    <w:rsid w:val="00CF0576"/>
    <w:rsid w:val="00D401EE"/>
    <w:rsid w:val="00D46215"/>
    <w:rsid w:val="00D53DBE"/>
    <w:rsid w:val="00D57B0C"/>
    <w:rsid w:val="00D80D14"/>
    <w:rsid w:val="00DC7678"/>
    <w:rsid w:val="00DE1C65"/>
    <w:rsid w:val="00E05833"/>
    <w:rsid w:val="00E56501"/>
    <w:rsid w:val="00E7599C"/>
    <w:rsid w:val="00E82FE1"/>
    <w:rsid w:val="00EB72B7"/>
    <w:rsid w:val="00EC00AA"/>
    <w:rsid w:val="00EC2CFC"/>
    <w:rsid w:val="00EC2E9E"/>
    <w:rsid w:val="00F00369"/>
    <w:rsid w:val="00F04C2B"/>
    <w:rsid w:val="00F14997"/>
    <w:rsid w:val="00F3772B"/>
    <w:rsid w:val="00F70B21"/>
    <w:rsid w:val="00F70BE9"/>
    <w:rsid w:val="00F7159E"/>
    <w:rsid w:val="00F747F0"/>
    <w:rsid w:val="00F86E68"/>
    <w:rsid w:val="00FC3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A"/>
    <w:pPr>
      <w:spacing w:after="120"/>
    </w:pPr>
    <w:rPr>
      <w:rFonts w:ascii="Calibri" w:eastAsia="Times New Roman" w:hAnsi="Calibri" w:cs="Times New Roman"/>
      <w:sz w:val="20"/>
    </w:rPr>
  </w:style>
  <w:style w:type="paragraph" w:styleId="Ttulo1">
    <w:name w:val="heading 1"/>
    <w:basedOn w:val="Normal"/>
    <w:next w:val="Normal"/>
    <w:link w:val="Ttulo1Car"/>
    <w:uiPriority w:val="9"/>
    <w:qFormat/>
    <w:rsid w:val="00B9004C"/>
    <w:pPr>
      <w:keepNext/>
      <w:keepLines/>
      <w:pBdr>
        <w:top w:val="single" w:sz="2" w:space="1" w:color="4F81BD"/>
        <w:left w:val="single" w:sz="2" w:space="4" w:color="4F81BD"/>
        <w:bottom w:val="single" w:sz="2" w:space="1" w:color="4F81BD"/>
        <w:right w:val="single" w:sz="2" w:space="4" w:color="4F81BD"/>
      </w:pBdr>
      <w:shd w:val="clear" w:color="auto" w:fill="548DD4" w:themeFill="text2" w:themeFillTint="99"/>
      <w:spacing w:before="480" w:line="360" w:lineRule="auto"/>
      <w:jc w:val="left"/>
      <w:outlineLvl w:val="0"/>
    </w:pPr>
    <w:rPr>
      <w:rFonts w:eastAsiaTheme="majorEastAsia" w:cstheme="majorBidi"/>
      <w:b/>
      <w:bCs/>
      <w:caps/>
      <w:color w:val="FFFFFF" w:themeColor="background1"/>
      <w:sz w:val="22"/>
    </w:rPr>
  </w:style>
  <w:style w:type="paragraph" w:styleId="Ttulo2">
    <w:name w:val="heading 2"/>
    <w:basedOn w:val="Normal"/>
    <w:next w:val="Normal"/>
    <w:link w:val="Ttulo2Car"/>
    <w:uiPriority w:val="9"/>
    <w:unhideWhenUsed/>
    <w:qFormat/>
    <w:rsid w:val="00B9004C"/>
    <w:pPr>
      <w:keepNext/>
      <w:pBdr>
        <w:top w:val="single" w:sz="24" w:space="0" w:color="DBE5F1"/>
        <w:left w:val="single" w:sz="24" w:space="0" w:color="DBE5F1"/>
        <w:bottom w:val="single" w:sz="24" w:space="0" w:color="DBE5F1"/>
        <w:right w:val="single" w:sz="24" w:space="0" w:color="DBE5F1"/>
      </w:pBdr>
      <w:shd w:val="clear" w:color="auto" w:fill="DBE5F1"/>
      <w:spacing w:before="360" w:line="276" w:lineRule="auto"/>
      <w:jc w:val="left"/>
      <w:outlineLvl w:val="1"/>
    </w:pPr>
    <w:rPr>
      <w:rFonts w:cs="Calibri"/>
      <w:caps/>
      <w:spacing w:val="15"/>
      <w:sz w:val="22"/>
    </w:rPr>
  </w:style>
  <w:style w:type="paragraph" w:styleId="Ttulo3">
    <w:name w:val="heading 3"/>
    <w:basedOn w:val="Normal"/>
    <w:next w:val="Normal"/>
    <w:link w:val="Ttulo3Car"/>
    <w:uiPriority w:val="9"/>
    <w:unhideWhenUsed/>
    <w:qFormat/>
    <w:rsid w:val="004372E7"/>
    <w:pPr>
      <w:keepNext/>
      <w:keepLines/>
      <w:spacing w:before="200" w:beforeAutospacing="1" w:afterAutospacing="1" w:line="360" w:lineRule="auto"/>
      <w:jc w:val="left"/>
      <w:outlineLvl w:val="2"/>
    </w:pPr>
    <w:rPr>
      <w:rFonts w:eastAsiaTheme="majorEastAsia" w:cstheme="majorBidi"/>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37C"/>
    <w:pPr>
      <w:ind w:left="720"/>
    </w:pPr>
    <w:rPr>
      <w:lang w:eastAsia="es-ES"/>
    </w:rPr>
  </w:style>
  <w:style w:type="character" w:styleId="Hipervnculo">
    <w:name w:val="Hyperlink"/>
    <w:basedOn w:val="Fuentedeprrafopredeter"/>
    <w:uiPriority w:val="99"/>
    <w:rsid w:val="0074756B"/>
    <w:rPr>
      <w:rFonts w:ascii="Times New Roman" w:hAnsi="Times New Roman" w:cs="Times New Roman"/>
      <w:color w:val="0000FF"/>
      <w:u w:val="single"/>
    </w:rPr>
  </w:style>
  <w:style w:type="paragraph" w:styleId="Textodeglobo">
    <w:name w:val="Balloon Text"/>
    <w:basedOn w:val="Normal"/>
    <w:link w:val="TextodegloboCar"/>
    <w:uiPriority w:val="99"/>
    <w:semiHidden/>
    <w:unhideWhenUsed/>
    <w:rsid w:val="002F67E7"/>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7E7"/>
    <w:rPr>
      <w:rFonts w:ascii="Tahoma" w:eastAsia="Times New Roman" w:hAnsi="Tahoma" w:cs="Tahoma"/>
      <w:sz w:val="16"/>
      <w:szCs w:val="16"/>
    </w:rPr>
  </w:style>
  <w:style w:type="paragraph" w:styleId="Encabezado">
    <w:name w:val="header"/>
    <w:basedOn w:val="Normal"/>
    <w:link w:val="EncabezadoCar"/>
    <w:uiPriority w:val="99"/>
    <w:semiHidden/>
    <w:unhideWhenUsed/>
    <w:rsid w:val="006A35D8"/>
    <w:pPr>
      <w:tabs>
        <w:tab w:val="center" w:pos="4252"/>
        <w:tab w:val="right" w:pos="8504"/>
      </w:tabs>
    </w:pPr>
  </w:style>
  <w:style w:type="character" w:customStyle="1" w:styleId="EncabezadoCar">
    <w:name w:val="Encabezado Car"/>
    <w:basedOn w:val="Fuentedeprrafopredeter"/>
    <w:link w:val="Encabezado"/>
    <w:uiPriority w:val="99"/>
    <w:semiHidden/>
    <w:rsid w:val="006A35D8"/>
    <w:rPr>
      <w:rFonts w:ascii="Calibri" w:eastAsia="Times New Roman" w:hAnsi="Calibri" w:cs="Times New Roman"/>
    </w:rPr>
  </w:style>
  <w:style w:type="paragraph" w:styleId="Piedepgina">
    <w:name w:val="footer"/>
    <w:basedOn w:val="Normal"/>
    <w:link w:val="PiedepginaCar"/>
    <w:uiPriority w:val="99"/>
    <w:unhideWhenUsed/>
    <w:rsid w:val="006A35D8"/>
    <w:pPr>
      <w:tabs>
        <w:tab w:val="center" w:pos="4252"/>
        <w:tab w:val="right" w:pos="8504"/>
      </w:tabs>
    </w:pPr>
  </w:style>
  <w:style w:type="character" w:customStyle="1" w:styleId="PiedepginaCar">
    <w:name w:val="Pie de página Car"/>
    <w:basedOn w:val="Fuentedeprrafopredeter"/>
    <w:link w:val="Piedepgina"/>
    <w:uiPriority w:val="99"/>
    <w:rsid w:val="006A35D8"/>
    <w:rPr>
      <w:rFonts w:ascii="Calibri" w:eastAsia="Times New Roman" w:hAnsi="Calibri" w:cs="Times New Roman"/>
    </w:rPr>
  </w:style>
  <w:style w:type="character" w:customStyle="1" w:styleId="Ttulo3Car">
    <w:name w:val="Título 3 Car"/>
    <w:basedOn w:val="Fuentedeprrafopredeter"/>
    <w:link w:val="Ttulo3"/>
    <w:uiPriority w:val="9"/>
    <w:rsid w:val="004372E7"/>
    <w:rPr>
      <w:rFonts w:ascii="Calibri" w:eastAsiaTheme="majorEastAsia" w:hAnsi="Calibri" w:cstheme="majorBidi"/>
      <w:b/>
      <w:bCs/>
      <w:i/>
      <w:sz w:val="20"/>
    </w:rPr>
  </w:style>
  <w:style w:type="paragraph" w:styleId="Sinespaciado">
    <w:name w:val="No Spacing"/>
    <w:aliases w:val="Viñetas"/>
    <w:uiPriority w:val="1"/>
    <w:qFormat/>
    <w:rsid w:val="008C7211"/>
    <w:pPr>
      <w:numPr>
        <w:numId w:val="1"/>
      </w:numPr>
      <w:spacing w:after="120"/>
    </w:pPr>
    <w:rPr>
      <w:rFonts w:ascii="Calibri" w:eastAsia="Times New Roman" w:hAnsi="Calibri" w:cs="Times New Roman"/>
      <w:sz w:val="20"/>
    </w:rPr>
  </w:style>
  <w:style w:type="character" w:customStyle="1" w:styleId="Ttulo1Car">
    <w:name w:val="Título 1 Car"/>
    <w:basedOn w:val="Fuentedeprrafopredeter"/>
    <w:link w:val="Ttulo1"/>
    <w:uiPriority w:val="9"/>
    <w:rsid w:val="00B9004C"/>
    <w:rPr>
      <w:rFonts w:ascii="Calibri" w:eastAsiaTheme="majorEastAsia" w:hAnsi="Calibri" w:cstheme="majorBidi"/>
      <w:b/>
      <w:bCs/>
      <w:caps/>
      <w:color w:val="FFFFFF" w:themeColor="background1"/>
      <w:shd w:val="clear" w:color="auto" w:fill="548DD4" w:themeFill="text2" w:themeFillTint="99"/>
    </w:rPr>
  </w:style>
  <w:style w:type="character" w:customStyle="1" w:styleId="Ttulo2Car">
    <w:name w:val="Título 2 Car"/>
    <w:basedOn w:val="Fuentedeprrafopredeter"/>
    <w:link w:val="Ttulo2"/>
    <w:uiPriority w:val="9"/>
    <w:rsid w:val="00B9004C"/>
    <w:rPr>
      <w:rFonts w:ascii="Calibri" w:eastAsia="Times New Roman" w:hAnsi="Calibri" w:cs="Calibri"/>
      <w:caps/>
      <w:spacing w:val="15"/>
      <w:shd w:val="clear" w:color="auto" w:fill="DBE5F1"/>
    </w:rPr>
  </w:style>
  <w:style w:type="character" w:styleId="Nmerodepgina">
    <w:name w:val="page number"/>
    <w:basedOn w:val="Fuentedeprrafopredeter"/>
    <w:rsid w:val="00CF0576"/>
  </w:style>
  <w:style w:type="paragraph" w:styleId="Textonotapie">
    <w:name w:val="footnote text"/>
    <w:basedOn w:val="Normal"/>
    <w:link w:val="TextonotapieCar"/>
    <w:semiHidden/>
    <w:rsid w:val="00F747F0"/>
    <w:rPr>
      <w:rFonts w:ascii="Arial" w:hAnsi="Arial"/>
      <w:szCs w:val="20"/>
      <w:lang w:eastAsia="es-ES"/>
    </w:rPr>
  </w:style>
  <w:style w:type="character" w:customStyle="1" w:styleId="TextonotapieCar">
    <w:name w:val="Texto nota pie Car"/>
    <w:basedOn w:val="Fuentedeprrafopredeter"/>
    <w:link w:val="Textonotapie"/>
    <w:semiHidden/>
    <w:rsid w:val="00F747F0"/>
    <w:rPr>
      <w:rFonts w:ascii="Arial" w:eastAsia="Times New Roman" w:hAnsi="Arial" w:cs="Times New Roman"/>
      <w:sz w:val="20"/>
      <w:szCs w:val="20"/>
      <w:lang w:eastAsia="es-ES"/>
    </w:rPr>
  </w:style>
  <w:style w:type="character" w:styleId="Refdenotaalpie">
    <w:name w:val="footnote reference"/>
    <w:basedOn w:val="Fuentedeprrafopredeter"/>
    <w:semiHidden/>
    <w:rsid w:val="00F747F0"/>
    <w:rPr>
      <w:vertAlign w:val="superscript"/>
    </w:rPr>
  </w:style>
</w:styles>
</file>

<file path=word/webSettings.xml><?xml version="1.0" encoding="utf-8"?>
<w:webSettings xmlns:r="http://schemas.openxmlformats.org/officeDocument/2006/relationships" xmlns:w="http://schemas.openxmlformats.org/wordprocessingml/2006/main">
  <w:divs>
    <w:div w:id="6887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g.info/pdf/Etudes/F1100FR.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ndernemendgroen.nl/greendea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ropbox.3eprojects.net/?id=76344fea-9ff2-4b36-bc7d-572cd7e54cf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6276</Words>
  <Characters>34524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2011-11-21T09:55:00Z</dcterms:created>
  <dcterms:modified xsi:type="dcterms:W3CDTF">2011-12-12T10:01:00Z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AdHocReviewCycleID">
    <vt:i4>-2035088805</vt:i4>
  </property>
  <property fmtid="{D5CDD505-2E9C-101B-9397-08002B2CF9AE}" pid="4" name="_NewReviewCycle">
    <vt:lpwstr/>
  </property>
</Properties>
</file>