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E" w:rsidRDefault="007B1B85" w:rsidP="00030844">
      <w:pPr>
        <w:pStyle w:val="Ttulo1"/>
        <w:pBdr>
          <w:top w:val="single" w:sz="2" w:space="0" w:color="4F81BD"/>
        </w:pBdr>
        <w:tabs>
          <w:tab w:val="left" w:pos="284"/>
        </w:tabs>
      </w:pPr>
      <w:r>
        <w:t>seguimiento de noticias de regulación internacional</w:t>
      </w:r>
    </w:p>
    <w:p w:rsidR="007B1B85" w:rsidRDefault="007B1B85" w:rsidP="007B1B85">
      <w:pPr>
        <w:jc w:val="center"/>
      </w:pPr>
      <w:r>
        <w:t>Marzo-abril 2011</w:t>
      </w:r>
    </w:p>
    <w:p w:rsidR="0083462B" w:rsidRPr="007765B4" w:rsidRDefault="007B1B85" w:rsidP="007765B4">
      <w:pPr>
        <w:pStyle w:val="Ttulo2"/>
      </w:pPr>
      <w:r>
        <w:t xml:space="preserve">sumario </w:t>
      </w:r>
      <w:r w:rsidR="006A3909" w:rsidRPr="007765B4">
        <w:t xml:space="preserve">                                                                                                         </w:t>
      </w:r>
    </w:p>
    <w:p w:rsidR="007B1B85" w:rsidRDefault="007B1B85" w:rsidP="007B1B85">
      <w:pPr>
        <w:spacing w:before="100" w:beforeAutospacing="1" w:after="100" w:afterAutospacing="1" w:line="276" w:lineRule="auto"/>
        <w:rPr>
          <w:lang w:val="es-ES_tradnl"/>
        </w:rPr>
      </w:pPr>
      <w:r w:rsidRPr="00694090">
        <w:rPr>
          <w:lang w:val="es-ES_tradnl"/>
        </w:rPr>
        <w:t>Se resumen las noticias sobre distintas iniciativas y novedades regulatorias dadas a conocer a lo largo del segundo bimestre del año 2011</w:t>
      </w:r>
      <w:r>
        <w:rPr>
          <w:lang w:val="es-ES_tradnl"/>
        </w:rPr>
        <w:t>, en el que destacan principalmente los cambios producidos en Europa hacia la nuclear debido al accidente de Fukushima en Japón, además</w:t>
      </w:r>
      <w:r w:rsidR="00695936">
        <w:rPr>
          <w:lang w:val="es-ES_tradnl"/>
        </w:rPr>
        <w:t>,</w:t>
      </w:r>
      <w:r>
        <w:rPr>
          <w:lang w:val="es-ES_tradnl"/>
        </w:rPr>
        <w:t xml:space="preserve"> de la política energética de los EE.UU</w:t>
      </w:r>
      <w:r w:rsidRPr="00694090">
        <w:rPr>
          <w:lang w:val="es-ES_tradnl"/>
        </w:rPr>
        <w:t>.</w:t>
      </w:r>
      <w:r w:rsidR="00695936">
        <w:rPr>
          <w:lang w:val="es-ES_tradnl"/>
        </w:rPr>
        <w:t xml:space="preserve"> En particular</w:t>
      </w:r>
      <w:r w:rsidR="0042719E">
        <w:rPr>
          <w:lang w:val="es-ES_tradnl"/>
        </w:rPr>
        <w:t>,</w:t>
      </w:r>
      <w:r w:rsidR="00695936">
        <w:rPr>
          <w:lang w:val="es-ES_tradnl"/>
        </w:rPr>
        <w:t xml:space="preserve"> se refleja el drástico cambio de posición de la administración alemana ante la energía nuclear acaecido en las últimas semanas.</w:t>
      </w:r>
    </w:p>
    <w:p w:rsidR="00695936" w:rsidRPr="00694090" w:rsidRDefault="00695936" w:rsidP="007B1B85">
      <w:pPr>
        <w:spacing w:before="100" w:beforeAutospacing="1" w:after="100" w:afterAutospacing="1" w:line="276" w:lineRule="auto"/>
      </w:pPr>
      <w:r>
        <w:rPr>
          <w:lang w:val="es-ES_tradnl"/>
        </w:rPr>
        <w:t>Por otra parte, también se reflejan en esta nota muchos de los planes de reforma y en la mayor parte de los casos, de endurecimiento de los esquemas de apoyo a las energías renovables en Europa y EE.</w:t>
      </w:r>
      <w:r w:rsidR="00293143">
        <w:rPr>
          <w:lang w:val="es-ES_tradnl"/>
        </w:rPr>
        <w:t>UU</w:t>
      </w:r>
      <w:r>
        <w:rPr>
          <w:lang w:val="es-ES_tradnl"/>
        </w:rPr>
        <w:t>.</w:t>
      </w:r>
    </w:p>
    <w:p w:rsidR="007B1B85" w:rsidRPr="00694090" w:rsidRDefault="007B1B85" w:rsidP="007B1B85">
      <w:pPr>
        <w:pStyle w:val="Ttulo2"/>
      </w:pPr>
      <w:r w:rsidRPr="00694090">
        <w:t>Temas de fondo</w:t>
      </w:r>
    </w:p>
    <w:p w:rsidR="007B1B85" w:rsidRPr="007B1B85" w:rsidRDefault="007B1B85" w:rsidP="007B1B85">
      <w:pPr>
        <w:pStyle w:val="Ttulo3"/>
      </w:pPr>
      <w:r w:rsidRPr="007B1B85">
        <w:t>EEUU: Blueprint for a Secure Ene</w:t>
      </w:r>
      <w:r>
        <w:t>rgy Future</w:t>
      </w:r>
    </w:p>
    <w:p w:rsidR="007B1B85" w:rsidRPr="007B1B85" w:rsidRDefault="007B1B85" w:rsidP="007B1B85">
      <w:pPr>
        <w:spacing w:before="100" w:beforeAutospacing="1" w:after="100" w:afterAutospacing="1" w:line="276" w:lineRule="auto"/>
        <w:rPr>
          <w:rFonts w:asciiTheme="minorHAnsi" w:hAnsiTheme="minorHAnsi" w:cs="Arial"/>
          <w:lang w:val="es-ES_tradnl"/>
        </w:rPr>
      </w:pPr>
      <w:r w:rsidRPr="007B1B85">
        <w:rPr>
          <w:rFonts w:asciiTheme="minorHAnsi" w:hAnsiTheme="minorHAnsi" w:cs="Arial"/>
          <w:lang w:val="es-ES_tradnl"/>
        </w:rPr>
        <w:t>En un discurso del pasado mes de marzo el Presidente Obama desveló lo que será su estrategia y líneas de actuación de la política energética estadounidense mediante el documento “</w:t>
      </w:r>
      <w:hyperlink r:id="rId8" w:history="1">
        <w:r w:rsidRPr="007B1B85">
          <w:rPr>
            <w:rStyle w:val="Hipervnculo"/>
            <w:rFonts w:asciiTheme="minorHAnsi" w:hAnsiTheme="minorHAnsi" w:cs="Arial"/>
            <w:i/>
            <w:lang w:val="es-ES_tradnl"/>
          </w:rPr>
          <w:t>Blueprint for a Secure Energy Future</w:t>
        </w:r>
      </w:hyperlink>
      <w:r w:rsidRPr="007B1B85">
        <w:rPr>
          <w:rFonts w:asciiTheme="minorHAnsi" w:hAnsiTheme="minorHAnsi" w:cs="Arial"/>
          <w:lang w:val="es-ES_tradnl"/>
        </w:rPr>
        <w:t xml:space="preserve">” en el que hace énfasis a su intención de reducir la dependencia del petróleo importado así como en estabilizar los precios del gas. En su discurso planteó el nuevo reto de reducir </w:t>
      </w:r>
      <w:r w:rsidR="003D0B30">
        <w:rPr>
          <w:rFonts w:asciiTheme="minorHAnsi" w:hAnsiTheme="minorHAnsi" w:cs="Arial"/>
          <w:lang w:val="es-ES_tradnl"/>
        </w:rPr>
        <w:t xml:space="preserve">un tercio </w:t>
      </w:r>
      <w:r w:rsidRPr="007B1B85">
        <w:rPr>
          <w:rFonts w:asciiTheme="minorHAnsi" w:hAnsiTheme="minorHAnsi" w:cs="Arial"/>
          <w:lang w:val="es-ES_tradnl"/>
        </w:rPr>
        <w:t xml:space="preserve">las importaciones de petróleo, pero sin ofrecer </w:t>
      </w:r>
      <w:r w:rsidR="003D0B30">
        <w:rPr>
          <w:rFonts w:asciiTheme="minorHAnsi" w:hAnsiTheme="minorHAnsi" w:cs="Arial"/>
          <w:lang w:val="es-ES_tradnl"/>
        </w:rPr>
        <w:t>nuevas</w:t>
      </w:r>
      <w:r w:rsidRPr="007B1B85">
        <w:rPr>
          <w:rFonts w:asciiTheme="minorHAnsi" w:hAnsiTheme="minorHAnsi" w:cs="Arial"/>
          <w:lang w:val="es-ES_tradnl"/>
        </w:rPr>
        <w:t xml:space="preserve"> políticas para alcanzar este objetivo. El </w:t>
      </w:r>
      <w:r w:rsidRPr="0042719E">
        <w:t>documento</w:t>
      </w:r>
      <w:r w:rsidRPr="007B1B85">
        <w:rPr>
          <w:rFonts w:asciiTheme="minorHAnsi" w:hAnsiTheme="minorHAnsi" w:cs="Arial"/>
          <w:lang w:val="es-ES_tradnl"/>
        </w:rPr>
        <w:t xml:space="preserve"> en sí no formula medidas directas para conseguirlos, como un techo en las importaciones de petróleo o una tasa a la gasolina. Lo que manifiesta en su anteproyecto ya lo había manifestado en políticas previamente definidas: estándares de economía para combustibles (</w:t>
      </w:r>
      <w:r w:rsidRPr="007B1B85">
        <w:rPr>
          <w:rFonts w:asciiTheme="minorHAnsi" w:hAnsiTheme="minorHAnsi" w:cs="Arial"/>
          <w:i/>
          <w:lang w:val="es-ES_tradnl"/>
        </w:rPr>
        <w:t>fuel economy standards</w:t>
      </w:r>
      <w:r w:rsidRPr="007B1B85">
        <w:rPr>
          <w:rFonts w:asciiTheme="minorHAnsi" w:hAnsiTheme="minorHAnsi" w:cs="Arial"/>
          <w:lang w:val="es-ES_tradnl"/>
        </w:rPr>
        <w:t>), varios apoyos gubernamentales para biocombustibles, y apoyo a vehículos alternativos como los vehículos eléctricos. La parte central de este anteproyecto se centra en el Estandar de Energias Limpias, (</w:t>
      </w:r>
      <w:r w:rsidRPr="007B1B85">
        <w:rPr>
          <w:rFonts w:asciiTheme="minorHAnsi" w:hAnsiTheme="minorHAnsi" w:cs="Arial"/>
          <w:i/>
          <w:lang w:val="es-ES_tradnl"/>
        </w:rPr>
        <w:t>Clean Energy Standard - CES</w:t>
      </w:r>
      <w:r w:rsidRPr="007B1B85">
        <w:rPr>
          <w:rFonts w:asciiTheme="minorHAnsi" w:hAnsiTheme="minorHAnsi" w:cs="Arial"/>
          <w:lang w:val="es-ES_tradnl"/>
        </w:rPr>
        <w:t xml:space="preserve">), que esencialmente </w:t>
      </w:r>
      <w:r w:rsidR="0042719E">
        <w:rPr>
          <w:rFonts w:asciiTheme="minorHAnsi" w:hAnsiTheme="minorHAnsi" w:cs="Arial"/>
          <w:lang w:val="es-ES_tradnl"/>
        </w:rPr>
        <w:t xml:space="preserve">viene a sustituir </w:t>
      </w:r>
      <w:r w:rsidRPr="007B1B85">
        <w:rPr>
          <w:rFonts w:asciiTheme="minorHAnsi" w:hAnsiTheme="minorHAnsi" w:cs="Arial"/>
          <w:lang w:val="es-ES_tradnl"/>
        </w:rPr>
        <w:t xml:space="preserve">las políticas de </w:t>
      </w:r>
      <w:r w:rsidRPr="007B1B85">
        <w:rPr>
          <w:rFonts w:asciiTheme="minorHAnsi" w:hAnsiTheme="minorHAnsi" w:cs="Arial"/>
          <w:i/>
          <w:lang w:val="es-ES_tradnl"/>
        </w:rPr>
        <w:t>cap-and-trade</w:t>
      </w:r>
      <w:r w:rsidRPr="007B1B85">
        <w:rPr>
          <w:rFonts w:asciiTheme="minorHAnsi" w:hAnsiTheme="minorHAnsi" w:cs="Arial"/>
          <w:lang w:val="es-ES_tradnl"/>
        </w:rPr>
        <w:t xml:space="preserve"> que Obama apoyó pero que finalmente </w:t>
      </w:r>
      <w:r w:rsidR="003D0B30">
        <w:rPr>
          <w:rFonts w:asciiTheme="minorHAnsi" w:hAnsiTheme="minorHAnsi" w:cs="Arial"/>
          <w:lang w:val="es-ES_tradnl"/>
        </w:rPr>
        <w:t>se diluyeron</w:t>
      </w:r>
      <w:r w:rsidRPr="007B1B85">
        <w:rPr>
          <w:rFonts w:asciiTheme="minorHAnsi" w:hAnsiTheme="minorHAnsi" w:cs="Arial"/>
          <w:lang w:val="es-ES_tradnl"/>
        </w:rPr>
        <w:t xml:space="preserve"> en los trámites del congreso. El CES es un mecanismo para reducir las emisiones de gases de efecto invernadero mediante el uso por parte de las compañías energéticas de una lista ‘tecnologías aprobadas’ para la generación de electricidad. El CES forma parte además del esfuerzo para reducir el consumo de petróleo, ya que se presenta como una medida que permita el desarrollo de los vehículos eléctricos mediante la generación de electricidad limpia. Las principales dudas que surgen ante este nuevo anteproyecto pasan por si realmente se convertirán en legislación o regulación, visto el fracaso ocurrido con el </w:t>
      </w:r>
      <w:r w:rsidRPr="007B1B85">
        <w:rPr>
          <w:rFonts w:asciiTheme="minorHAnsi" w:hAnsiTheme="minorHAnsi" w:cs="Arial"/>
          <w:i/>
          <w:lang w:val="es-ES_tradnl"/>
        </w:rPr>
        <w:t>cap and trade</w:t>
      </w:r>
      <w:r w:rsidRPr="007B1B85">
        <w:rPr>
          <w:rFonts w:asciiTheme="minorHAnsi" w:hAnsiTheme="minorHAnsi" w:cs="Arial"/>
          <w:lang w:val="es-ES_tradnl"/>
        </w:rPr>
        <w:t>.</w:t>
      </w:r>
    </w:p>
    <w:p w:rsidR="007B1B85" w:rsidRPr="007B1B85" w:rsidRDefault="007B1B85" w:rsidP="007B1B85">
      <w:pPr>
        <w:spacing w:before="100" w:beforeAutospacing="1" w:after="100" w:afterAutospacing="1" w:line="276" w:lineRule="auto"/>
        <w:rPr>
          <w:rFonts w:asciiTheme="minorHAnsi" w:hAnsiTheme="minorHAnsi" w:cs="Arial"/>
          <w:lang w:val="es-ES_tradnl"/>
        </w:rPr>
      </w:pPr>
      <w:r w:rsidRPr="007B1B85">
        <w:rPr>
          <w:rFonts w:asciiTheme="minorHAnsi" w:hAnsiTheme="minorHAnsi" w:cs="Arial"/>
          <w:lang w:val="es-ES_tradnl"/>
        </w:rPr>
        <w:t xml:space="preserve">Por otra parte, Obama, mediante una carta enviada el pasado 26 de abril </w:t>
      </w:r>
      <w:r w:rsidR="00015188">
        <w:rPr>
          <w:rFonts w:asciiTheme="minorHAnsi" w:hAnsiTheme="minorHAnsi" w:cs="Arial"/>
          <w:lang w:val="es-ES_tradnl"/>
        </w:rPr>
        <w:t xml:space="preserve">pide </w:t>
      </w:r>
      <w:r w:rsidRPr="007B1B85">
        <w:rPr>
          <w:rFonts w:asciiTheme="minorHAnsi" w:hAnsiTheme="minorHAnsi" w:cs="Arial"/>
          <w:lang w:val="es-ES_tradnl"/>
        </w:rPr>
        <w:t xml:space="preserve">a los 4 líderes del congreso estadounidense, que </w:t>
      </w:r>
      <w:r w:rsidR="00015188">
        <w:rPr>
          <w:rFonts w:asciiTheme="minorHAnsi" w:hAnsiTheme="minorHAnsi" w:cs="Arial"/>
          <w:lang w:val="es-ES_tradnl"/>
        </w:rPr>
        <w:t xml:space="preserve">se </w:t>
      </w:r>
      <w:r w:rsidRPr="007B1B85">
        <w:rPr>
          <w:rFonts w:asciiTheme="minorHAnsi" w:hAnsiTheme="minorHAnsi" w:cs="Arial"/>
          <w:lang w:val="es-ES_tradnl"/>
        </w:rPr>
        <w:t xml:space="preserve">adopte legislación para abolir los subsidios a la industria de gas y </w:t>
      </w:r>
      <w:r w:rsidRPr="007B1B85">
        <w:rPr>
          <w:rFonts w:asciiTheme="minorHAnsi" w:hAnsiTheme="minorHAnsi" w:cs="Arial"/>
          <w:lang w:val="es-ES_tradnl"/>
        </w:rPr>
        <w:lastRenderedPageBreak/>
        <w:t>p</w:t>
      </w:r>
      <w:r w:rsidR="00015188">
        <w:rPr>
          <w:rFonts w:asciiTheme="minorHAnsi" w:hAnsiTheme="minorHAnsi" w:cs="Arial"/>
          <w:lang w:val="es-ES_tradnl"/>
        </w:rPr>
        <w:t xml:space="preserve">etróleo que ascienden a 4.000 M </w:t>
      </w:r>
      <w:r w:rsidRPr="007B1B85">
        <w:rPr>
          <w:rFonts w:asciiTheme="minorHAnsi" w:hAnsiTheme="minorHAnsi" w:cs="Arial"/>
          <w:lang w:val="es-ES_tradnl"/>
        </w:rPr>
        <w:t>USD anuales y que</w:t>
      </w:r>
      <w:r w:rsidR="00015188">
        <w:rPr>
          <w:rFonts w:asciiTheme="minorHAnsi" w:hAnsiTheme="minorHAnsi" w:cs="Arial"/>
          <w:lang w:val="es-ES_tradnl"/>
        </w:rPr>
        <w:t>,</w:t>
      </w:r>
      <w:r w:rsidRPr="007B1B85">
        <w:rPr>
          <w:rFonts w:asciiTheme="minorHAnsi" w:hAnsiTheme="minorHAnsi" w:cs="Arial"/>
          <w:lang w:val="es-ES_tradnl"/>
        </w:rPr>
        <w:t xml:space="preserve"> en su lugar</w:t>
      </w:r>
      <w:r w:rsidR="00015188">
        <w:rPr>
          <w:rFonts w:asciiTheme="minorHAnsi" w:hAnsiTheme="minorHAnsi" w:cs="Arial"/>
          <w:lang w:val="es-ES_tradnl"/>
        </w:rPr>
        <w:t>,</w:t>
      </w:r>
      <w:r w:rsidRPr="007B1B85">
        <w:rPr>
          <w:rFonts w:asciiTheme="minorHAnsi" w:hAnsiTheme="minorHAnsi" w:cs="Arial"/>
          <w:lang w:val="es-ES_tradnl"/>
        </w:rPr>
        <w:t xml:space="preserve"> se inviertan en el desarrollo de energías limpias y eficiencia energética. (Blogactiv EU, 27.04)</w:t>
      </w:r>
    </w:p>
    <w:p w:rsidR="007B1B85" w:rsidRPr="007B1B85" w:rsidRDefault="007B1B85" w:rsidP="007B1B85">
      <w:pPr>
        <w:spacing w:before="100" w:beforeAutospacing="1" w:after="100" w:afterAutospacing="1" w:line="276" w:lineRule="auto"/>
        <w:rPr>
          <w:rFonts w:asciiTheme="minorHAnsi" w:hAnsiTheme="minorHAnsi" w:cs="Arial"/>
        </w:rPr>
      </w:pPr>
      <w:r w:rsidRPr="007B1B85">
        <w:rPr>
          <w:rFonts w:asciiTheme="minorHAnsi" w:hAnsiTheme="minorHAnsi" w:cs="Arial"/>
        </w:rPr>
        <w:t>Mientras a nivel presidencial se quieren impulsar las políticas limpias, a nivel l</w:t>
      </w:r>
      <w:r w:rsidR="0042719E">
        <w:rPr>
          <w:rFonts w:asciiTheme="minorHAnsi" w:hAnsiTheme="minorHAnsi" w:cs="Arial"/>
        </w:rPr>
        <w:t>egislativo</w:t>
      </w:r>
      <w:r w:rsidRPr="007B1B85">
        <w:rPr>
          <w:rFonts w:asciiTheme="minorHAnsi" w:hAnsiTheme="minorHAnsi" w:cs="Arial"/>
        </w:rPr>
        <w:t xml:space="preserve"> se quiere limitar a toda costa el poder de la </w:t>
      </w:r>
      <w:r w:rsidR="0042719E" w:rsidRPr="0042719E">
        <w:rPr>
          <w:rFonts w:asciiTheme="minorHAnsi" w:hAnsiTheme="minorHAnsi" w:cs="Arial"/>
          <w:i/>
        </w:rPr>
        <w:t>European Protection Agency</w:t>
      </w:r>
      <w:r w:rsidR="0042719E">
        <w:rPr>
          <w:rFonts w:asciiTheme="minorHAnsi" w:hAnsiTheme="minorHAnsi" w:cs="Arial"/>
        </w:rPr>
        <w:t xml:space="preserve"> (</w:t>
      </w:r>
      <w:r w:rsidRPr="007B1B85">
        <w:rPr>
          <w:rFonts w:asciiTheme="minorHAnsi" w:hAnsiTheme="minorHAnsi" w:cs="Arial"/>
        </w:rPr>
        <w:t>EPA</w:t>
      </w:r>
      <w:r w:rsidR="0042719E">
        <w:rPr>
          <w:rFonts w:asciiTheme="minorHAnsi" w:hAnsiTheme="minorHAnsi" w:cs="Arial"/>
        </w:rPr>
        <w:t>)</w:t>
      </w:r>
      <w:r w:rsidRPr="007B1B85">
        <w:rPr>
          <w:rFonts w:asciiTheme="minorHAnsi" w:hAnsiTheme="minorHAnsi" w:cs="Arial"/>
        </w:rPr>
        <w:t xml:space="preserve"> y de la </w:t>
      </w:r>
      <w:r w:rsidRPr="007B1B85">
        <w:rPr>
          <w:rFonts w:asciiTheme="minorHAnsi" w:hAnsiTheme="minorHAnsi" w:cs="Arial"/>
          <w:i/>
        </w:rPr>
        <w:t>Clean Energy Act</w:t>
      </w:r>
      <w:r w:rsidRPr="007B1B85">
        <w:rPr>
          <w:rFonts w:asciiTheme="minorHAnsi" w:hAnsiTheme="minorHAnsi" w:cs="Arial"/>
        </w:rPr>
        <w:t>. Desde comienzos de este año numerosos senadores han venido presentando propuestas para impedir que la EPA regule sobre las emisiones mediante límites en su campo de actuación e incluso en sus presupuestos. Han propuesto u</w:t>
      </w:r>
      <w:r w:rsidR="00015188">
        <w:rPr>
          <w:rFonts w:asciiTheme="minorHAnsi" w:hAnsiTheme="minorHAnsi" w:cs="Arial"/>
        </w:rPr>
        <w:t xml:space="preserve">n recorte del 30% (unos 3.000 M </w:t>
      </w:r>
      <w:r w:rsidRPr="007B1B85">
        <w:rPr>
          <w:rFonts w:asciiTheme="minorHAnsi" w:hAnsiTheme="minorHAnsi" w:cs="Arial"/>
        </w:rPr>
        <w:t>USD). (Bloomberg 03.03)</w:t>
      </w:r>
      <w:r w:rsidR="00015188">
        <w:rPr>
          <w:rFonts w:asciiTheme="minorHAnsi" w:hAnsiTheme="minorHAnsi" w:cs="Arial"/>
        </w:rPr>
        <w:t>. Por otra parte, a</w:t>
      </w:r>
      <w:r w:rsidRPr="007B1B85">
        <w:rPr>
          <w:rFonts w:asciiTheme="minorHAnsi" w:hAnsiTheme="minorHAnsi" w:cs="Arial"/>
        </w:rPr>
        <w:t xml:space="preserve"> mediados de marzo se ha rechazado en el Senado una propuesta que pretend</w:t>
      </w:r>
      <w:r w:rsidR="0042719E">
        <w:rPr>
          <w:rFonts w:asciiTheme="minorHAnsi" w:hAnsiTheme="minorHAnsi" w:cs="Arial"/>
        </w:rPr>
        <w:t>ía limitar sus poderes (ví</w:t>
      </w:r>
      <w:r w:rsidRPr="007B1B85">
        <w:rPr>
          <w:rFonts w:asciiTheme="minorHAnsi" w:hAnsiTheme="minorHAnsi" w:cs="Arial"/>
        </w:rPr>
        <w:t xml:space="preserve">a la </w:t>
      </w:r>
      <w:r w:rsidRPr="007B1B85">
        <w:rPr>
          <w:rFonts w:asciiTheme="minorHAnsi" w:hAnsiTheme="minorHAnsi" w:cs="Arial"/>
          <w:i/>
        </w:rPr>
        <w:t>Energy Tax Prevention Act</w:t>
      </w:r>
      <w:r w:rsidRPr="007B1B85">
        <w:rPr>
          <w:rFonts w:asciiTheme="minorHAnsi" w:hAnsiTheme="minorHAnsi" w:cs="Arial"/>
        </w:rPr>
        <w:t xml:space="preserve">), mientras que en esa misma semana en la Cámara baja se votaba una ley que </w:t>
      </w:r>
      <w:r w:rsidR="0042719E">
        <w:rPr>
          <w:rFonts w:asciiTheme="minorHAnsi" w:hAnsiTheme="minorHAnsi" w:cs="Arial"/>
        </w:rPr>
        <w:t>abordaba tal recorte</w:t>
      </w:r>
      <w:r w:rsidRPr="007B1B85">
        <w:rPr>
          <w:rFonts w:asciiTheme="minorHAnsi" w:hAnsiTheme="minorHAnsi" w:cs="Arial"/>
        </w:rPr>
        <w:t xml:space="preserve">. En cualquier caso el Predidente Obama ha afirmado que utilizará el derecho de veto contra cualquier norma que limite los poderes de la EPA. </w:t>
      </w:r>
    </w:p>
    <w:p w:rsidR="007B1B85" w:rsidRPr="00694090" w:rsidRDefault="007B1B85" w:rsidP="007B1B85">
      <w:pPr>
        <w:pStyle w:val="Ttulo3"/>
        <w:rPr>
          <w:lang w:val="es-ES_tradnl"/>
        </w:rPr>
      </w:pPr>
      <w:r w:rsidRPr="00694090">
        <w:rPr>
          <w:lang w:val="es-ES_tradnl"/>
        </w:rPr>
        <w:t>Noticias de la UE:</w:t>
      </w:r>
    </w:p>
    <w:p w:rsidR="007B1B85" w:rsidRDefault="007B1B85" w:rsidP="007B1B85">
      <w:pPr>
        <w:spacing w:before="100" w:beforeAutospacing="1" w:after="100" w:afterAutospacing="1" w:line="276" w:lineRule="auto"/>
      </w:pPr>
      <w:r>
        <w:t xml:space="preserve">A nivel europeo, </w:t>
      </w:r>
      <w:r w:rsidR="0042719E">
        <w:t xml:space="preserve">cabe destacar a lo largo de las últimas semanas el conjunto de </w:t>
      </w:r>
      <w:r>
        <w:t>reacci</w:t>
      </w:r>
      <w:r w:rsidR="0042719E">
        <w:t>o</w:t>
      </w:r>
      <w:r>
        <w:t>n</w:t>
      </w:r>
      <w:r w:rsidR="0042719E">
        <w:t>es</w:t>
      </w:r>
      <w:r>
        <w:t xml:space="preserve"> de los países de la UE ante el desastre nuclear de Fukushima. Así, en </w:t>
      </w:r>
      <w:r w:rsidRPr="006A3B84">
        <w:t xml:space="preserve">Consejo extraordinario de Energía se </w:t>
      </w:r>
      <w:r>
        <w:t xml:space="preserve">analizó </w:t>
      </w:r>
      <w:r w:rsidRPr="006A3B84">
        <w:t>la influencia que las situaci</w:t>
      </w:r>
      <w:r>
        <w:t>ones</w:t>
      </w:r>
      <w:r w:rsidRPr="006A3B84">
        <w:t xml:space="preserve"> en Libia y Japón pod</w:t>
      </w:r>
      <w:r>
        <w:t>r</w:t>
      </w:r>
      <w:r w:rsidRPr="006A3B84">
        <w:t>ían tener sobre el mercado energético comunitario</w:t>
      </w:r>
      <w:r w:rsidR="0042719E">
        <w:t>, aunque de forma autónoma muchos países expresaron diferentes reacciones</w:t>
      </w:r>
      <w:r w:rsidRPr="006A3B84">
        <w:t xml:space="preserve">. </w:t>
      </w:r>
      <w:r w:rsidR="00E8761C">
        <w:t xml:space="preserve"> La Comisión convocó una reunión de urgencia con representantes gubernamentales, reguladores nucleares e industria para analizar la eventualidad de un suceso de las mismas características en alguna de las instalaciones de la UE</w:t>
      </w:r>
      <w:r>
        <w:t xml:space="preserve">. En dicho consejo se decidió la necesidad de </w:t>
      </w:r>
      <w:r w:rsidRPr="00367E12">
        <w:rPr>
          <w:b/>
        </w:rPr>
        <w:t>realizar pruebas de esfuerzo (stress test) a las centrales europeas</w:t>
      </w:r>
      <w:r>
        <w:t xml:space="preserve">. El Consejo europeo de </w:t>
      </w:r>
      <w:r w:rsidRPr="006A3B84">
        <w:t>Primavera, habitualmente dedicado a temas de competitividad</w:t>
      </w:r>
      <w:r>
        <w:t xml:space="preserve">, ratificó </w:t>
      </w:r>
      <w:r w:rsidRPr="006A3B84">
        <w:t xml:space="preserve">las conclusiones adoptadas en el Consejo de Energía sobre la situación nuclear, </w:t>
      </w:r>
      <w:r>
        <w:t xml:space="preserve">y estableció que los resultados de los </w:t>
      </w:r>
      <w:r w:rsidRPr="005859D2">
        <w:rPr>
          <w:i/>
        </w:rPr>
        <w:t>stress test</w:t>
      </w:r>
      <w:r w:rsidRPr="006A3B84">
        <w:t xml:space="preserve"> deben estar disponibles este año, </w:t>
      </w:r>
      <w:r>
        <w:t>además</w:t>
      </w:r>
      <w:r w:rsidR="00E8761C">
        <w:t>,</w:t>
      </w:r>
      <w:r>
        <w:t xml:space="preserve"> de </w:t>
      </w:r>
      <w:r w:rsidRPr="006A3B84">
        <w:t xml:space="preserve">solicitar </w:t>
      </w:r>
      <w:r>
        <w:t>pruebas semejantes a</w:t>
      </w:r>
      <w:r w:rsidRPr="006A3B84">
        <w:t xml:space="preserve"> los países vecinos y que se garantice la aplicación de la normativa existente en seguridad nuclear. </w:t>
      </w:r>
    </w:p>
    <w:p w:rsidR="007B1B85" w:rsidRPr="00694090" w:rsidRDefault="007B1B85" w:rsidP="007B1B85">
      <w:pPr>
        <w:spacing w:before="100" w:beforeAutospacing="1" w:after="100" w:afterAutospacing="1" w:line="276" w:lineRule="auto"/>
      </w:pPr>
      <w:r>
        <w:t xml:space="preserve">En cuanto a la </w:t>
      </w:r>
      <w:r w:rsidRPr="006A3B84">
        <w:t>Comisión Europea, el pasado 3 de marzo entró en vigor el tercer paquete de liberalización de los mercados de electricidad y gas</w:t>
      </w:r>
      <w:r w:rsidR="00E8761C">
        <w:t xml:space="preserve">, </w:t>
      </w:r>
      <w:r w:rsidR="00E25EB1">
        <w:t>f</w:t>
      </w:r>
      <w:r w:rsidR="00E8761C">
        <w:t xml:space="preserve">echa que marcó la inauguración oficial </w:t>
      </w:r>
      <w:r w:rsidRPr="006A3B84">
        <w:t>e</w:t>
      </w:r>
      <w:r>
        <w:t>n</w:t>
      </w:r>
      <w:r w:rsidRPr="006A3B84">
        <w:t xml:space="preserve"> Liubliana (Eslovenia) </w:t>
      </w:r>
      <w:r w:rsidR="00E8761C">
        <w:t xml:space="preserve">de </w:t>
      </w:r>
      <w:r w:rsidRPr="006A3B84">
        <w:t>la sede de la Agencia de Coordinación de Reguladores Energéticos (ACER).</w:t>
      </w:r>
      <w:r>
        <w:t xml:space="preserve"> Es previsible que </w:t>
      </w:r>
      <w:r w:rsidRPr="006A3B84">
        <w:t xml:space="preserve">la transposición de este tercer paquete </w:t>
      </w:r>
      <w:r>
        <w:t xml:space="preserve">se retrase en todos los países, estando prevista la misma en </w:t>
      </w:r>
      <w:r w:rsidRPr="006A3B84">
        <w:t xml:space="preserve">España para </w:t>
      </w:r>
      <w:r w:rsidR="00E8761C">
        <w:t>los últimos meses de 2011</w:t>
      </w:r>
      <w:r w:rsidRPr="006A3B84">
        <w:t xml:space="preserve">. </w:t>
      </w:r>
      <w:r>
        <w:t>Además</w:t>
      </w:r>
      <w:r w:rsidR="00E8761C">
        <w:t>,</w:t>
      </w:r>
      <w:r>
        <w:t xml:space="preserve"> la CE ha publicado </w:t>
      </w:r>
      <w:r w:rsidRPr="006A3B84">
        <w:t xml:space="preserve">tres comunicaciones </w:t>
      </w:r>
      <w:r>
        <w:t>relacionadas</w:t>
      </w:r>
      <w:r w:rsidRPr="006A3B84">
        <w:t xml:space="preserve"> con temas energéticos</w:t>
      </w:r>
      <w:r>
        <w:t xml:space="preserve">: </w:t>
      </w:r>
      <w:r w:rsidRPr="006A3B84">
        <w:t xml:space="preserve">La primera es la llamada </w:t>
      </w:r>
      <w:r w:rsidRPr="001C2926">
        <w:rPr>
          <w:b/>
        </w:rPr>
        <w:t>Hoja de Ruta para la descarbonización de la economía en 2050</w:t>
      </w:r>
      <w:r>
        <w:rPr>
          <w:b/>
        </w:rPr>
        <w:t xml:space="preserve">, </w:t>
      </w:r>
      <w:r w:rsidRPr="006A3B84">
        <w:t xml:space="preserve">en </w:t>
      </w:r>
      <w:r>
        <w:t xml:space="preserve">la que se analiza </w:t>
      </w:r>
      <w:r w:rsidRPr="006A3B84">
        <w:t>la forma más eficiente de conseguir los objetivos comunitarios de reducción de GEI en 2050</w:t>
      </w:r>
      <w:r>
        <w:t>.</w:t>
      </w:r>
      <w:r w:rsidRPr="006A3B84">
        <w:t xml:space="preserve"> También</w:t>
      </w:r>
      <w:r w:rsidR="00E8761C">
        <w:t>,</w:t>
      </w:r>
      <w:r w:rsidRPr="006A3B84">
        <w:t xml:space="preserve"> se presentó un </w:t>
      </w:r>
      <w:r w:rsidRPr="001B1F18">
        <w:rPr>
          <w:b/>
        </w:rPr>
        <w:t>plan de acción de eficiencia energética</w:t>
      </w:r>
      <w:r>
        <w:t>, que se puede resumir como un</w:t>
      </w:r>
      <w:r w:rsidRPr="006A3B84">
        <w:t xml:space="preserve"> objetivo de reducción de consumo energético</w:t>
      </w:r>
      <w:r>
        <w:t xml:space="preserve">. </w:t>
      </w:r>
      <w:r w:rsidRPr="006A3B84">
        <w:t xml:space="preserve">Se proponen criterios de eficiencia en contratación pública, medidas para </w:t>
      </w:r>
      <w:r>
        <w:t>los sectores</w:t>
      </w:r>
      <w:r w:rsidRPr="006A3B84">
        <w:t xml:space="preserve"> energético e industrial, y la revisión de las Directivas de Servicios y Eficiencia Energética y la de Cogeneración en las que se </w:t>
      </w:r>
      <w:r w:rsidR="00527B71">
        <w:t>potenciará la figura de las ESE</w:t>
      </w:r>
      <w:r w:rsidRPr="006A3B84">
        <w:t xml:space="preserve">s (empresas de servicios energéticos) y la cogeneración. </w:t>
      </w:r>
      <w:r>
        <w:t>Por último</w:t>
      </w:r>
      <w:r w:rsidR="00E8761C">
        <w:t>,</w:t>
      </w:r>
      <w:r>
        <w:t xml:space="preserve"> se presentó </w:t>
      </w:r>
      <w:r w:rsidRPr="006A3B84">
        <w:t xml:space="preserve">el </w:t>
      </w:r>
      <w:r w:rsidRPr="005D7AD2">
        <w:rPr>
          <w:b/>
        </w:rPr>
        <w:t>Libro Blanco del Transporte</w:t>
      </w:r>
      <w:r>
        <w:t>, donde se</w:t>
      </w:r>
      <w:r w:rsidRPr="006A3B84">
        <w:t xml:space="preserve"> propone que las emisiones de GEI en el sector del transporte en 2050 se reduzcan en un 60% </w:t>
      </w:r>
      <w:r>
        <w:t>y se plantean</w:t>
      </w:r>
      <w:r w:rsidRPr="006A3B84">
        <w:t xml:space="preserve"> medidas </w:t>
      </w:r>
      <w:r>
        <w:t xml:space="preserve">como la </w:t>
      </w:r>
      <w:r w:rsidRPr="006A3B84">
        <w:t>prohibi</w:t>
      </w:r>
      <w:r>
        <w:t>ción</w:t>
      </w:r>
      <w:r w:rsidRPr="006A3B84">
        <w:t xml:space="preserve"> </w:t>
      </w:r>
      <w:r>
        <w:t>d</w:t>
      </w:r>
      <w:r w:rsidRPr="006A3B84">
        <w:t xml:space="preserve">el uso del automóvil convencional en ciudades, una reducción del 40 % de las emisiones del transporte marítimo y una transferencia del 50 % del transporte por carretera al ferroviario y fluvial en distancias medias interurbanas, tanto para </w:t>
      </w:r>
      <w:r w:rsidRPr="006A3B84">
        <w:lastRenderedPageBreak/>
        <w:t>pasajeros como para mercancías</w:t>
      </w:r>
      <w:r>
        <w:t xml:space="preserve">. Además de estas medidas la CE ha propuesto una </w:t>
      </w:r>
      <w:r w:rsidRPr="005D7AD2">
        <w:rPr>
          <w:b/>
        </w:rPr>
        <w:t xml:space="preserve">tasa mínima para la energía </w:t>
      </w:r>
      <w:r>
        <w:rPr>
          <w:b/>
        </w:rPr>
        <w:t>basada</w:t>
      </w:r>
      <w:r w:rsidRPr="005D7AD2">
        <w:rPr>
          <w:b/>
        </w:rPr>
        <w:t xml:space="preserve"> en las emisiones de CO2</w:t>
      </w:r>
      <w:r>
        <w:t xml:space="preserve"> y contenido energético más que en el volumen, y que de aprobarse, comenzará a aplicarse en 2013.</w:t>
      </w:r>
      <w:r w:rsidR="00E8761C">
        <w:t xml:space="preserve"> </w:t>
      </w:r>
      <w:r>
        <w:t>(GPR</w:t>
      </w:r>
      <w:r w:rsidR="00E667A9">
        <w:rPr>
          <w:rStyle w:val="Refdenotaalpie"/>
        </w:rPr>
        <w:footnoteReference w:id="1"/>
      </w:r>
      <w:r>
        <w:t xml:space="preserve"> 21.04)</w:t>
      </w:r>
    </w:p>
    <w:p w:rsidR="007B1B85" w:rsidRPr="00694090" w:rsidRDefault="007B1B85" w:rsidP="007B1B85">
      <w:pPr>
        <w:pStyle w:val="Ttulo2"/>
      </w:pPr>
      <w:r w:rsidRPr="00694090">
        <w:t>Otras cuestiones de interés</w:t>
      </w:r>
    </w:p>
    <w:p w:rsidR="00C45748" w:rsidRPr="00C45748" w:rsidRDefault="00C45748" w:rsidP="00C45748">
      <w:pPr>
        <w:pStyle w:val="Ttulo3"/>
      </w:pPr>
      <w:r w:rsidRPr="00C45748">
        <w:t xml:space="preserve">Europa – Energías Renovables, emisiones, eficiencia y otros temas de medio ambiente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CE prevé proponer medidas vinculantes de eficiencia energética, </w:t>
      </w:r>
      <w:r w:rsidRPr="00C45748">
        <w:rPr>
          <w:rFonts w:asciiTheme="minorHAnsi" w:hAnsiTheme="minorHAnsi"/>
          <w:sz w:val="20"/>
          <w:szCs w:val="20"/>
        </w:rPr>
        <w:t xml:space="preserve">para alcanzar el objetivo voluntario de mejorarla un 20% para 2020. En 2013, la CE examinará los niveles alcanzados y, si concluye que el objetivo total no se cumple, propondrá objetivos vinculantes para 2020. Su nuevo </w:t>
      </w:r>
      <w:r w:rsidRPr="007066D3">
        <w:rPr>
          <w:rFonts w:asciiTheme="minorHAnsi" w:hAnsiTheme="minorHAnsi"/>
          <w:sz w:val="20"/>
          <w:szCs w:val="20"/>
        </w:rPr>
        <w:t xml:space="preserve">plan </w:t>
      </w:r>
      <w:r w:rsidRPr="00C45748">
        <w:rPr>
          <w:rFonts w:asciiTheme="minorHAnsi" w:hAnsiTheme="minorHAnsi"/>
          <w:sz w:val="20"/>
          <w:szCs w:val="20"/>
        </w:rPr>
        <w:t>prevé medidas para el sector privado y público. (EUE</w:t>
      </w:r>
      <w:r w:rsidR="00E667A9">
        <w:rPr>
          <w:rStyle w:val="Refdenotaalpie"/>
          <w:rFonts w:asciiTheme="minorHAnsi" w:hAnsiTheme="minorHAnsi"/>
          <w:sz w:val="20"/>
          <w:szCs w:val="20"/>
        </w:rPr>
        <w:footnoteReference w:id="2"/>
      </w:r>
      <w:r w:rsidRPr="00C45748">
        <w:rPr>
          <w:rFonts w:asciiTheme="minorHAnsi" w:hAnsiTheme="minorHAnsi"/>
          <w:sz w:val="20"/>
          <w:szCs w:val="20"/>
        </w:rPr>
        <w:t xml:space="preserve"> 11.03)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CE podría proponer la anulación o cancelación de varios cientos de millones de toneladas de CO2 de los derechos de emisión para 2013-2020 </w:t>
      </w:r>
      <w:r w:rsidRPr="00C45748">
        <w:rPr>
          <w:rFonts w:asciiTheme="minorHAnsi" w:hAnsiTheme="minorHAnsi"/>
          <w:sz w:val="20"/>
          <w:szCs w:val="20"/>
        </w:rPr>
        <w:t>en su ‘</w:t>
      </w:r>
      <w:r w:rsidRPr="00B96C7E">
        <w:rPr>
          <w:rFonts w:asciiTheme="minorHAnsi" w:hAnsiTheme="minorHAnsi"/>
          <w:i/>
          <w:sz w:val="20"/>
          <w:szCs w:val="20"/>
        </w:rPr>
        <w:t>Hoja de Ruta Climática 2050’</w:t>
      </w:r>
      <w:r w:rsidRPr="00C45748">
        <w:rPr>
          <w:rFonts w:asciiTheme="minorHAnsi" w:hAnsiTheme="minorHAnsi"/>
          <w:sz w:val="20"/>
          <w:szCs w:val="20"/>
        </w:rPr>
        <w:t xml:space="preserve">. El anterior proyecto, cuya versión definitiva se aprobará este año, proponía establecer 500-800 millones de derechos entre 2013-2020 en comparación con la asignación anual actual de 2.000 millones de derechos. (Goldman Sachs, 08.03). </w:t>
      </w:r>
      <w:r w:rsidRPr="00C45748">
        <w:rPr>
          <w:rFonts w:asciiTheme="minorHAnsi" w:hAnsiTheme="minorHAnsi"/>
          <w:b/>
          <w:bCs/>
          <w:sz w:val="20"/>
          <w:szCs w:val="20"/>
        </w:rPr>
        <w:t xml:space="preserve">La UE subastará 120 millones de EUAs post-2012 en 2012. </w:t>
      </w:r>
      <w:r w:rsidRPr="00C45748">
        <w:rPr>
          <w:rFonts w:asciiTheme="minorHAnsi" w:hAnsiTheme="minorHAnsi"/>
          <w:sz w:val="20"/>
          <w:szCs w:val="20"/>
        </w:rPr>
        <w:t>(EUE 25.03)</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CE concederá 24,2</w:t>
      </w:r>
      <w:r w:rsidR="00B96C7E">
        <w:rPr>
          <w:rFonts w:asciiTheme="minorHAnsi" w:hAnsiTheme="minorHAnsi"/>
          <w:b/>
          <w:bCs/>
          <w:sz w:val="20"/>
          <w:szCs w:val="20"/>
        </w:rPr>
        <w:t xml:space="preserve"> </w:t>
      </w:r>
      <w:r w:rsidR="00527B71">
        <w:rPr>
          <w:rFonts w:asciiTheme="minorHAnsi" w:hAnsiTheme="minorHAnsi"/>
          <w:b/>
          <w:bCs/>
          <w:sz w:val="20"/>
          <w:szCs w:val="20"/>
        </w:rPr>
        <w:t>M€</w:t>
      </w:r>
      <w:r w:rsidRPr="00C45748">
        <w:rPr>
          <w:rFonts w:asciiTheme="minorHAnsi" w:hAnsiTheme="minorHAnsi"/>
          <w:b/>
          <w:bCs/>
          <w:sz w:val="20"/>
          <w:szCs w:val="20"/>
        </w:rPr>
        <w:t xml:space="preserve"> a un proyecto piloto de coche eléctrico en la UE. </w:t>
      </w:r>
      <w:r w:rsidRPr="00C45748">
        <w:rPr>
          <w:rFonts w:asciiTheme="minorHAnsi" w:hAnsiTheme="minorHAnsi"/>
          <w:sz w:val="20"/>
          <w:szCs w:val="20"/>
        </w:rPr>
        <w:t>Impulsará la adopción del coche eléctrico a través de un proyecto de 4 años en 12 ciudades europeas que probará el despliegue de los mismos y los puntos de carga</w:t>
      </w:r>
      <w:r w:rsidR="00B96C7E">
        <w:rPr>
          <w:rFonts w:asciiTheme="minorHAnsi" w:hAnsiTheme="minorHAnsi"/>
          <w:sz w:val="20"/>
          <w:szCs w:val="20"/>
        </w:rPr>
        <w:t>.</w:t>
      </w:r>
      <w:r w:rsidRPr="00C45748">
        <w:rPr>
          <w:rFonts w:asciiTheme="minorHAnsi" w:hAnsiTheme="minorHAnsi"/>
          <w:sz w:val="20"/>
          <w:szCs w:val="20"/>
        </w:rPr>
        <w:t xml:space="preserve"> (EUE 08.04).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El gobierno danés retirará progresivamente los combustibles fósiles mediante la puesta en marcha de 1.500</w:t>
      </w:r>
      <w:r w:rsidR="00B96C7E">
        <w:rPr>
          <w:rFonts w:asciiTheme="minorHAnsi" w:hAnsiTheme="minorHAnsi"/>
          <w:b/>
          <w:bCs/>
          <w:sz w:val="20"/>
          <w:szCs w:val="20"/>
        </w:rPr>
        <w:t xml:space="preserve"> </w:t>
      </w:r>
      <w:r w:rsidRPr="00C45748">
        <w:rPr>
          <w:rFonts w:asciiTheme="minorHAnsi" w:hAnsiTheme="minorHAnsi"/>
          <w:b/>
          <w:bCs/>
          <w:sz w:val="20"/>
          <w:szCs w:val="20"/>
        </w:rPr>
        <w:t xml:space="preserve">MW de nueva eólica para 2020. </w:t>
      </w:r>
      <w:r w:rsidRPr="00C45748">
        <w:rPr>
          <w:rFonts w:asciiTheme="minorHAnsi" w:hAnsiTheme="minorHAnsi"/>
          <w:sz w:val="20"/>
          <w:szCs w:val="20"/>
        </w:rPr>
        <w:t xml:space="preserve">En su </w:t>
      </w:r>
      <w:r w:rsidRPr="00B96C7E">
        <w:rPr>
          <w:rFonts w:asciiTheme="minorHAnsi" w:hAnsiTheme="minorHAnsi"/>
          <w:sz w:val="20"/>
          <w:szCs w:val="20"/>
        </w:rPr>
        <w:t>estrategia energética</w:t>
      </w:r>
      <w:r w:rsidRPr="00C45748">
        <w:rPr>
          <w:rFonts w:asciiTheme="minorHAnsi" w:hAnsiTheme="minorHAnsi"/>
          <w:sz w:val="20"/>
          <w:szCs w:val="20"/>
        </w:rPr>
        <w:t xml:space="preserve">, del 24 de febrero, expone su intención de que la eólica alcance el 42% de la producción para 2020, además de reducir un 33% el uso de combustibles fósiles en el sector energético comparado con los niveles de 2009 (GPR 03.03) además de que el 60% de la demanda energética nacional sea cubierta con renovables. (EUE 11.03)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CE rechaza el plan austriaco de exención del pago de las primas a determinadas industrias intensivas en energía, </w:t>
      </w:r>
      <w:r w:rsidRPr="00C45748">
        <w:rPr>
          <w:rFonts w:asciiTheme="minorHAnsi" w:hAnsiTheme="minorHAnsi"/>
          <w:sz w:val="20"/>
          <w:szCs w:val="20"/>
        </w:rPr>
        <w:t xml:space="preserve">por ser contraria a las reglas de competencia europeas, (EUE 11.03). </w:t>
      </w:r>
      <w:r w:rsidRPr="00C45748">
        <w:rPr>
          <w:rFonts w:asciiTheme="minorHAnsi" w:hAnsiTheme="minorHAnsi"/>
          <w:b/>
          <w:bCs/>
          <w:sz w:val="20"/>
          <w:szCs w:val="20"/>
        </w:rPr>
        <w:t xml:space="preserve">El gobierno austriaco apelará la decisión </w:t>
      </w:r>
      <w:r w:rsidRPr="00C45748">
        <w:rPr>
          <w:rFonts w:asciiTheme="minorHAnsi" w:hAnsiTheme="minorHAnsi"/>
          <w:sz w:val="20"/>
          <w:szCs w:val="20"/>
        </w:rPr>
        <w:t>a la Corte Europea, al afirmar que la medida es similar a la</w:t>
      </w:r>
      <w:r w:rsidR="00B96C7E">
        <w:rPr>
          <w:rFonts w:asciiTheme="minorHAnsi" w:hAnsiTheme="minorHAnsi"/>
          <w:sz w:val="20"/>
          <w:szCs w:val="20"/>
        </w:rPr>
        <w:t xml:space="preserve"> adoptada en Francia y Alemania.</w:t>
      </w:r>
      <w:r w:rsidRPr="00C45748">
        <w:rPr>
          <w:rFonts w:asciiTheme="minorHAnsi" w:hAnsiTheme="minorHAnsi"/>
          <w:sz w:val="20"/>
          <w:szCs w:val="20"/>
        </w:rPr>
        <w:t xml:space="preserve"> (RER 21.03).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Tras Fukushima, Austria decide revisar su legislación sobre renovables, aprobada en diciembre. </w:t>
      </w:r>
      <w:r w:rsidRPr="00C45748">
        <w:rPr>
          <w:rFonts w:asciiTheme="minorHAnsi" w:hAnsiTheme="minorHAnsi"/>
          <w:sz w:val="20"/>
          <w:szCs w:val="20"/>
        </w:rPr>
        <w:t xml:space="preserve">El gobierno tratará de acercarse a la independencia energética con generación doméstica principalmente hidráulica y otras renovables, para eliminar la necesidad de importaciones que incluyen energía de producción nuclear. Se espera que el plan derive en subidas en la factura eléctrica. (RER 04.04). </w:t>
      </w:r>
      <w:r w:rsidRPr="00C45748">
        <w:rPr>
          <w:rFonts w:asciiTheme="minorHAnsi" w:hAnsiTheme="minorHAnsi"/>
          <w:b/>
          <w:bCs/>
          <w:sz w:val="20"/>
          <w:szCs w:val="20"/>
        </w:rPr>
        <w:t xml:space="preserve">La cuota de renovables podría alcanzar el 15% en 2015 </w:t>
      </w:r>
      <w:r w:rsidRPr="00C45748">
        <w:rPr>
          <w:rFonts w:asciiTheme="minorHAnsi" w:hAnsiTheme="minorHAnsi"/>
          <w:sz w:val="20"/>
          <w:szCs w:val="20"/>
        </w:rPr>
        <w:t>con la reforma. (PIE</w:t>
      </w:r>
      <w:r w:rsidR="00E667A9">
        <w:rPr>
          <w:rStyle w:val="Refdenotaalpie"/>
          <w:rFonts w:asciiTheme="minorHAnsi" w:hAnsiTheme="minorHAnsi"/>
          <w:sz w:val="20"/>
          <w:szCs w:val="20"/>
        </w:rPr>
        <w:footnoteReference w:id="3"/>
      </w:r>
      <w:r w:rsidRPr="00C45748">
        <w:rPr>
          <w:rFonts w:asciiTheme="minorHAnsi" w:hAnsiTheme="minorHAnsi"/>
          <w:sz w:val="20"/>
          <w:szCs w:val="20"/>
        </w:rPr>
        <w:t xml:space="preserve"> 04.04)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lastRenderedPageBreak/>
        <w:t xml:space="preserve">Francia exigirá el balance anual de responsabilidad social y ambiental (RSE) en 2011 sólo a las empresas de más de 5.000 trabajadores </w:t>
      </w:r>
      <w:r w:rsidR="00B96C7E">
        <w:rPr>
          <w:rFonts w:asciiTheme="minorHAnsi" w:hAnsiTheme="minorHAnsi"/>
          <w:sz w:val="20"/>
          <w:szCs w:val="20"/>
        </w:rPr>
        <w:t>y mil</w:t>
      </w:r>
      <w:r w:rsidRPr="00C45748">
        <w:rPr>
          <w:rFonts w:asciiTheme="minorHAnsi" w:hAnsiTheme="minorHAnsi"/>
          <w:sz w:val="20"/>
          <w:szCs w:val="20"/>
        </w:rPr>
        <w:t xml:space="preserve"> millones de </w:t>
      </w:r>
      <w:r w:rsidR="006D2AD3">
        <w:rPr>
          <w:rFonts w:asciiTheme="minorHAnsi" w:hAnsiTheme="minorHAnsi"/>
          <w:sz w:val="20"/>
          <w:szCs w:val="20"/>
        </w:rPr>
        <w:t xml:space="preserve">euros </w:t>
      </w:r>
      <w:r w:rsidRPr="00C45748">
        <w:rPr>
          <w:rFonts w:asciiTheme="minorHAnsi" w:hAnsiTheme="minorHAnsi"/>
          <w:sz w:val="20"/>
          <w:szCs w:val="20"/>
        </w:rPr>
        <w:t xml:space="preserve">de balance. Las presiones del Ministerio de Economía y de organizaciones patronales, han logrado posponer la obligación prevista en la </w:t>
      </w:r>
      <w:r w:rsidRPr="00C45748">
        <w:rPr>
          <w:rFonts w:asciiTheme="minorHAnsi" w:hAnsiTheme="minorHAnsi"/>
          <w:i/>
          <w:iCs/>
          <w:sz w:val="20"/>
          <w:szCs w:val="20"/>
        </w:rPr>
        <w:t xml:space="preserve">Grenelle 2 </w:t>
      </w:r>
      <w:r w:rsidRPr="00C45748">
        <w:rPr>
          <w:rFonts w:asciiTheme="minorHAnsi" w:hAnsiTheme="minorHAnsi"/>
          <w:sz w:val="20"/>
          <w:szCs w:val="20"/>
        </w:rPr>
        <w:t xml:space="preserve">para empresas de más de 500 trabajadores. (Le Monde 03.03) </w:t>
      </w:r>
      <w:r w:rsidRPr="00C45748">
        <w:rPr>
          <w:rFonts w:asciiTheme="minorHAnsi" w:hAnsiTheme="minorHAnsi"/>
          <w:b/>
          <w:bCs/>
          <w:sz w:val="20"/>
          <w:szCs w:val="20"/>
        </w:rPr>
        <w:t xml:space="preserve">Ante la presión de ecologistas y sindicatos, se han fijado umbrales provisionales para los próximos años: </w:t>
      </w:r>
      <w:r w:rsidRPr="00C45748">
        <w:rPr>
          <w:rFonts w:asciiTheme="minorHAnsi" w:hAnsiTheme="minorHAnsi"/>
          <w:sz w:val="20"/>
          <w:szCs w:val="20"/>
        </w:rPr>
        <w:t>en 2012 será obligatoria para empresas con más de 400</w:t>
      </w:r>
      <w:r w:rsidR="00B96C7E">
        <w:rPr>
          <w:rFonts w:asciiTheme="minorHAnsi" w:hAnsiTheme="minorHAnsi"/>
          <w:sz w:val="20"/>
          <w:szCs w:val="20"/>
        </w:rPr>
        <w:t xml:space="preserve"> </w:t>
      </w:r>
      <w:r w:rsidR="00527B71">
        <w:rPr>
          <w:rFonts w:asciiTheme="minorHAnsi" w:hAnsiTheme="minorHAnsi"/>
          <w:sz w:val="20"/>
          <w:szCs w:val="20"/>
        </w:rPr>
        <w:t>M€</w:t>
      </w:r>
      <w:r w:rsidRPr="00C45748">
        <w:rPr>
          <w:rFonts w:asciiTheme="minorHAnsi" w:hAnsiTheme="minorHAnsi"/>
          <w:sz w:val="20"/>
          <w:szCs w:val="20"/>
        </w:rPr>
        <w:t xml:space="preserve"> y 2.000 empleados; y en 2013, a las de más de 100</w:t>
      </w:r>
      <w:r w:rsidR="00B96C7E">
        <w:rPr>
          <w:rFonts w:asciiTheme="minorHAnsi" w:hAnsiTheme="minorHAnsi"/>
          <w:sz w:val="20"/>
          <w:szCs w:val="20"/>
        </w:rPr>
        <w:t xml:space="preserve"> </w:t>
      </w:r>
      <w:r w:rsidR="00527B71">
        <w:rPr>
          <w:rFonts w:asciiTheme="minorHAnsi" w:hAnsiTheme="minorHAnsi"/>
          <w:sz w:val="20"/>
          <w:szCs w:val="20"/>
        </w:rPr>
        <w:t>M€</w:t>
      </w:r>
      <w:r w:rsidRPr="00C45748">
        <w:rPr>
          <w:rFonts w:asciiTheme="minorHAnsi" w:hAnsiTheme="minorHAnsi"/>
          <w:sz w:val="20"/>
          <w:szCs w:val="20"/>
        </w:rPr>
        <w:t xml:space="preserve"> y 500 empleados. (Les Echos 11.03) En Dinamarca, se hace para empresas de más de 250 empleados, en Alemania es voluntario, y en España se quiere adoptar para las de más de 1.000 asalariados.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Francia recorta un 20% las primas a la fotovoltaica </w:t>
      </w:r>
      <w:r w:rsidRPr="00C45748">
        <w:rPr>
          <w:rFonts w:asciiTheme="minorHAnsi" w:hAnsiTheme="minorHAnsi"/>
          <w:sz w:val="20"/>
          <w:szCs w:val="20"/>
        </w:rPr>
        <w:t>desde el 10 de marzo, aunque mantiene el objetivo de instalar 500</w:t>
      </w:r>
      <w:r w:rsidR="00B96C7E">
        <w:rPr>
          <w:rFonts w:asciiTheme="minorHAnsi" w:hAnsiTheme="minorHAnsi"/>
          <w:sz w:val="20"/>
          <w:szCs w:val="20"/>
        </w:rPr>
        <w:t xml:space="preserve"> </w:t>
      </w:r>
      <w:r w:rsidRPr="00C45748">
        <w:rPr>
          <w:rFonts w:asciiTheme="minorHAnsi" w:hAnsiTheme="minorHAnsi"/>
          <w:sz w:val="20"/>
          <w:szCs w:val="20"/>
        </w:rPr>
        <w:t>MW/año. Las primas se ajustarán “automáticamente” cada trimestre, según el número de proyectos presentados y de candidatos para las licitaciones de grandes instalaciones. (PIE 07.03)</w:t>
      </w:r>
      <w:r w:rsidR="00B96C7E">
        <w:rPr>
          <w:rFonts w:asciiTheme="minorHAnsi" w:hAnsiTheme="minorHAnsi"/>
          <w:sz w:val="20"/>
          <w:szCs w:val="20"/>
        </w:rPr>
        <w:t>.</w:t>
      </w:r>
      <w:r w:rsidRPr="00C45748">
        <w:rPr>
          <w:rFonts w:asciiTheme="minorHAnsi" w:hAnsiTheme="minorHAnsi"/>
          <w:sz w:val="20"/>
          <w:szCs w:val="20"/>
        </w:rPr>
        <w:t xml:space="preserve"> </w:t>
      </w:r>
      <w:r w:rsidRPr="00C45748">
        <w:rPr>
          <w:rFonts w:asciiTheme="minorHAnsi" w:hAnsiTheme="minorHAnsi"/>
          <w:b/>
          <w:bCs/>
          <w:sz w:val="20"/>
          <w:szCs w:val="20"/>
        </w:rPr>
        <w:t xml:space="preserve">La reducción se aplica a los proyectos de menos de 100 kW. </w:t>
      </w:r>
      <w:r w:rsidRPr="00C45748">
        <w:rPr>
          <w:rFonts w:asciiTheme="minorHAnsi" w:hAnsiTheme="minorHAnsi"/>
          <w:sz w:val="20"/>
          <w:szCs w:val="20"/>
        </w:rPr>
        <w:t xml:space="preserve">Los que se encuentren por encima están sujetos a un proceso de licitación y no se beneficiarán de las primas. El sector critica la medida. (EUE 11.03)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Italia recortará los subsidios a las renovables. </w:t>
      </w:r>
      <w:r w:rsidRPr="00C45748">
        <w:rPr>
          <w:rFonts w:asciiTheme="minorHAnsi" w:hAnsiTheme="minorHAnsi"/>
          <w:sz w:val="20"/>
          <w:szCs w:val="20"/>
        </w:rPr>
        <w:t xml:space="preserve">El 3 de marzo, el gobierno adoptó un decreto de renovables, implementando la Directiva RES, en el que se elimina el mecanismo de certificados verdes y se introduce un mecanismo de subasta desde 2015 para renovables de más de 5 MW. (PIE 07.03). En junio, se aprobará un decreto con límites anuales y </w:t>
      </w:r>
      <w:r w:rsidRPr="00C45748">
        <w:rPr>
          <w:rFonts w:asciiTheme="minorHAnsi" w:hAnsiTheme="minorHAnsi"/>
          <w:b/>
          <w:bCs/>
          <w:sz w:val="20"/>
          <w:szCs w:val="20"/>
        </w:rPr>
        <w:t xml:space="preserve">recortes en las primas de la fotovoltaica en un 25% para 2011. </w:t>
      </w:r>
      <w:r w:rsidRPr="00C45748">
        <w:rPr>
          <w:rFonts w:asciiTheme="minorHAnsi" w:hAnsiTheme="minorHAnsi"/>
          <w:sz w:val="20"/>
          <w:szCs w:val="20"/>
        </w:rPr>
        <w:t xml:space="preserve">(GPR 21.04). </w:t>
      </w:r>
      <w:r w:rsidRPr="00C45748">
        <w:rPr>
          <w:rFonts w:asciiTheme="minorHAnsi" w:hAnsiTheme="minorHAnsi"/>
          <w:b/>
          <w:bCs/>
          <w:sz w:val="20"/>
          <w:szCs w:val="20"/>
        </w:rPr>
        <w:t>En enero de 2013, entrar</w:t>
      </w:r>
      <w:r w:rsidR="00B96C7E">
        <w:rPr>
          <w:rFonts w:asciiTheme="minorHAnsi" w:hAnsiTheme="minorHAnsi"/>
          <w:b/>
          <w:bCs/>
          <w:sz w:val="20"/>
          <w:szCs w:val="20"/>
        </w:rPr>
        <w:t>á</w:t>
      </w:r>
      <w:r w:rsidRPr="00C45748">
        <w:rPr>
          <w:rFonts w:asciiTheme="minorHAnsi" w:hAnsiTheme="minorHAnsi"/>
          <w:b/>
          <w:bCs/>
          <w:sz w:val="20"/>
          <w:szCs w:val="20"/>
        </w:rPr>
        <w:t xml:space="preserve"> en vigor un nuevo sistema de incentivos </w:t>
      </w:r>
      <w:r w:rsidRPr="00C45748">
        <w:rPr>
          <w:rFonts w:asciiTheme="minorHAnsi" w:hAnsiTheme="minorHAnsi"/>
          <w:sz w:val="20"/>
          <w:szCs w:val="20"/>
        </w:rPr>
        <w:t xml:space="preserve">cuyo nivel no está aún definido. (EUE 11.03).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energía eólica reducirá los precios mayoristas irlandeses. </w:t>
      </w:r>
      <w:r w:rsidRPr="00C45748">
        <w:rPr>
          <w:rFonts w:asciiTheme="minorHAnsi" w:hAnsiTheme="minorHAnsi"/>
          <w:sz w:val="20"/>
          <w:szCs w:val="20"/>
        </w:rPr>
        <w:t xml:space="preserve">Un </w:t>
      </w:r>
      <w:r w:rsidRPr="00451945">
        <w:rPr>
          <w:rFonts w:asciiTheme="minorHAnsi" w:hAnsiTheme="minorHAnsi"/>
          <w:sz w:val="20"/>
          <w:szCs w:val="20"/>
        </w:rPr>
        <w:t xml:space="preserve">estudio </w:t>
      </w:r>
      <w:r w:rsidRPr="00C45748">
        <w:rPr>
          <w:rFonts w:asciiTheme="minorHAnsi" w:hAnsiTheme="minorHAnsi"/>
          <w:sz w:val="20"/>
          <w:szCs w:val="20"/>
        </w:rPr>
        <w:t>concluye que si la eólica alcanzara un 45% del mix de generación del país en 2020, los precios del mercado mayorista bajarían un 11,5%, y sus costes se reducirían 256</w:t>
      </w:r>
      <w:r w:rsidR="00451945">
        <w:rPr>
          <w:rFonts w:asciiTheme="minorHAnsi" w:hAnsiTheme="minorHAnsi"/>
          <w:sz w:val="20"/>
          <w:szCs w:val="20"/>
        </w:rPr>
        <w:t xml:space="preserve"> M</w:t>
      </w:r>
      <w:r w:rsidR="006D2AD3">
        <w:rPr>
          <w:rFonts w:asciiTheme="minorHAnsi" w:hAnsiTheme="minorHAnsi"/>
          <w:sz w:val="20"/>
          <w:szCs w:val="20"/>
        </w:rPr>
        <w:t>€</w:t>
      </w:r>
      <w:r w:rsidR="00451945">
        <w:rPr>
          <w:rFonts w:asciiTheme="minorHAnsi" w:hAnsiTheme="minorHAnsi"/>
          <w:sz w:val="20"/>
          <w:szCs w:val="20"/>
        </w:rPr>
        <w:t>/año. (PIE 07.03).</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gobierno alemán muestra su preocupación por el monto del peaje asociado a las energías renovables que se cargará este año a los consumidores </w:t>
      </w:r>
      <w:r w:rsidRPr="00C45748">
        <w:rPr>
          <w:rFonts w:asciiTheme="minorHAnsi" w:hAnsiTheme="minorHAnsi"/>
          <w:sz w:val="20"/>
          <w:szCs w:val="20"/>
        </w:rPr>
        <w:t>para cubrir la diferencia entre el precio mayorista de la electricidad y los costes de las renovables. Con respecto al año 2010, el peaje ha aumentado un 72%, pasando de 20</w:t>
      </w:r>
      <w:r w:rsidR="00527B71">
        <w:rPr>
          <w:rFonts w:asciiTheme="minorHAnsi" w:hAnsiTheme="minorHAnsi"/>
          <w:sz w:val="20"/>
          <w:szCs w:val="20"/>
        </w:rPr>
        <w:t>,</w:t>
      </w:r>
      <w:r w:rsidRPr="00C45748">
        <w:rPr>
          <w:rFonts w:asciiTheme="minorHAnsi" w:hAnsiTheme="minorHAnsi"/>
          <w:sz w:val="20"/>
          <w:szCs w:val="20"/>
        </w:rPr>
        <w:t>5 a 35</w:t>
      </w:r>
      <w:r w:rsidR="00527B71">
        <w:rPr>
          <w:rFonts w:asciiTheme="minorHAnsi" w:hAnsiTheme="minorHAnsi"/>
          <w:sz w:val="20"/>
          <w:szCs w:val="20"/>
        </w:rPr>
        <w:t>,</w:t>
      </w:r>
      <w:r w:rsidRPr="00C45748">
        <w:rPr>
          <w:rFonts w:asciiTheme="minorHAnsi" w:hAnsiTheme="minorHAnsi"/>
          <w:sz w:val="20"/>
          <w:szCs w:val="20"/>
        </w:rPr>
        <w:t>3 €/</w:t>
      </w:r>
      <w:r w:rsidR="00527B71">
        <w:rPr>
          <w:rFonts w:asciiTheme="minorHAnsi" w:hAnsiTheme="minorHAnsi"/>
          <w:sz w:val="20"/>
          <w:szCs w:val="20"/>
        </w:rPr>
        <w:t>M</w:t>
      </w:r>
      <w:r w:rsidRPr="00C45748">
        <w:rPr>
          <w:rFonts w:asciiTheme="minorHAnsi" w:hAnsiTheme="minorHAnsi"/>
          <w:sz w:val="20"/>
          <w:szCs w:val="20"/>
        </w:rPr>
        <w:t>Wh (PIE 21.03).</w:t>
      </w:r>
      <w:r w:rsidR="00527B71">
        <w:rPr>
          <w:rFonts w:asciiTheme="minorHAnsi" w:hAnsiTheme="minorHAnsi"/>
          <w:sz w:val="20"/>
          <w:szCs w:val="20"/>
        </w:rPr>
        <w:t xml:space="preserve"> </w:t>
      </w:r>
      <w:r w:rsidRPr="00C45748">
        <w:rPr>
          <w:rFonts w:asciiTheme="minorHAnsi" w:hAnsiTheme="minorHAnsi"/>
          <w:sz w:val="20"/>
          <w:szCs w:val="20"/>
        </w:rPr>
        <w:t>Mientras, e</w:t>
      </w:r>
      <w:r w:rsidRPr="00C45748">
        <w:rPr>
          <w:rFonts w:asciiTheme="minorHAnsi" w:hAnsiTheme="minorHAnsi"/>
          <w:b/>
          <w:bCs/>
          <w:sz w:val="20"/>
          <w:szCs w:val="20"/>
        </w:rPr>
        <w:t xml:space="preserve">l accidente de Japón dispara las ventas de “electricidad verde” en Alemania. </w:t>
      </w:r>
      <w:r w:rsidRPr="00C45748">
        <w:rPr>
          <w:rFonts w:asciiTheme="minorHAnsi" w:hAnsiTheme="minorHAnsi"/>
          <w:sz w:val="20"/>
          <w:szCs w:val="20"/>
        </w:rPr>
        <w:t>(RER</w:t>
      </w:r>
      <w:r w:rsidR="00E667A9">
        <w:rPr>
          <w:rStyle w:val="Refdenotaalpie"/>
          <w:rFonts w:asciiTheme="minorHAnsi" w:hAnsiTheme="minorHAnsi"/>
          <w:sz w:val="20"/>
          <w:szCs w:val="20"/>
        </w:rPr>
        <w:footnoteReference w:id="4"/>
      </w:r>
      <w:r w:rsidRPr="00C45748">
        <w:rPr>
          <w:rFonts w:asciiTheme="minorHAnsi" w:hAnsiTheme="minorHAnsi"/>
          <w:sz w:val="20"/>
          <w:szCs w:val="20"/>
        </w:rPr>
        <w:t xml:space="preserve"> 04.04)</w:t>
      </w:r>
      <w:r w:rsidR="004519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nueva </w:t>
      </w:r>
      <w:r w:rsidRPr="00C45748">
        <w:rPr>
          <w:rFonts w:asciiTheme="minorHAnsi" w:hAnsiTheme="minorHAnsi"/>
          <w:b/>
          <w:bCs/>
          <w:i/>
          <w:iCs/>
          <w:sz w:val="20"/>
          <w:szCs w:val="20"/>
        </w:rPr>
        <w:t xml:space="preserve">feed in tariff </w:t>
      </w:r>
      <w:r w:rsidR="00527B71">
        <w:rPr>
          <w:rFonts w:asciiTheme="minorHAnsi" w:hAnsiTheme="minorHAnsi"/>
          <w:b/>
          <w:bCs/>
          <w:i/>
          <w:iCs/>
          <w:sz w:val="20"/>
          <w:szCs w:val="20"/>
        </w:rPr>
        <w:t xml:space="preserve">(FIT) </w:t>
      </w:r>
      <w:r w:rsidRPr="00C45748">
        <w:rPr>
          <w:rFonts w:asciiTheme="minorHAnsi" w:hAnsiTheme="minorHAnsi"/>
          <w:b/>
          <w:bCs/>
          <w:sz w:val="20"/>
          <w:szCs w:val="20"/>
        </w:rPr>
        <w:t>finlandesa, diseñada para lograr la instalación de 2,5</w:t>
      </w:r>
      <w:r w:rsidR="00451945">
        <w:rPr>
          <w:rFonts w:asciiTheme="minorHAnsi" w:hAnsiTheme="minorHAnsi"/>
          <w:b/>
          <w:bCs/>
          <w:sz w:val="20"/>
          <w:szCs w:val="20"/>
        </w:rPr>
        <w:t xml:space="preserve"> </w:t>
      </w:r>
      <w:r w:rsidRPr="00C45748">
        <w:rPr>
          <w:rFonts w:asciiTheme="minorHAnsi" w:hAnsiTheme="minorHAnsi"/>
          <w:b/>
          <w:bCs/>
          <w:sz w:val="20"/>
          <w:szCs w:val="20"/>
        </w:rPr>
        <w:t xml:space="preserve">GW de eólica para 2020, ha entrado en vigor el 25 de marzo, </w:t>
      </w:r>
      <w:r w:rsidRPr="00C45748">
        <w:rPr>
          <w:rFonts w:asciiTheme="minorHAnsi" w:hAnsiTheme="minorHAnsi"/>
          <w:sz w:val="20"/>
          <w:szCs w:val="20"/>
        </w:rPr>
        <w:t>tras recibir la aprobación de la CE. El gobierno considera la FIT -que incluye incentivos a generación con biocombustibles y residuos de madera- más efectiva que el sistema de certificados</w:t>
      </w:r>
      <w:r w:rsidR="00451945">
        <w:rPr>
          <w:rFonts w:asciiTheme="minorHAnsi" w:hAnsiTheme="minorHAnsi"/>
          <w:sz w:val="20"/>
          <w:szCs w:val="20"/>
        </w:rPr>
        <w:t xml:space="preserve"> verdes. (RER 04.04) y (PIE 04.04).</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Gobierno e industria suecos exigen cambios en el sistema de licencias para instalaciones eólicas. </w:t>
      </w:r>
      <w:r w:rsidRPr="00C45748">
        <w:rPr>
          <w:rFonts w:asciiTheme="minorHAnsi" w:hAnsiTheme="minorHAnsi"/>
          <w:sz w:val="20"/>
          <w:szCs w:val="20"/>
        </w:rPr>
        <w:t>El gobierno pide a los ayuntamientos que dejen de bloquear la construcción de instalaciones y actúen de forma más consistente y responsable</w:t>
      </w:r>
      <w:r w:rsidR="00451945">
        <w:rPr>
          <w:rFonts w:asciiTheme="minorHAnsi" w:hAnsiTheme="minorHAnsi"/>
          <w:sz w:val="20"/>
          <w:szCs w:val="20"/>
        </w:rPr>
        <w:t>. (RER 04.04).</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Los vaivenes legislativos del gobierno búlgaro perjudican a la industria eólica. </w:t>
      </w:r>
      <w:r w:rsidRPr="00C45748">
        <w:rPr>
          <w:rFonts w:asciiTheme="minorHAnsi" w:hAnsiTheme="minorHAnsi"/>
          <w:sz w:val="20"/>
          <w:szCs w:val="20"/>
        </w:rPr>
        <w:t xml:space="preserve">Aunque tras la incorporación del país a la UE éste se apresuró a promover las renovables, las últimas medidas del gobierno podrían congelar el desarrollo de la industria. Las primeras medidas fijaron una prima a 15 </w:t>
      </w:r>
      <w:r w:rsidRPr="00C45748">
        <w:rPr>
          <w:rFonts w:asciiTheme="minorHAnsi" w:hAnsiTheme="minorHAnsi"/>
          <w:sz w:val="20"/>
          <w:szCs w:val="20"/>
        </w:rPr>
        <w:lastRenderedPageBreak/>
        <w:t>años para la eólica a una tasa de cambio fija, y los proyectos planeados superaron los 14.000</w:t>
      </w:r>
      <w:r w:rsidR="00451945">
        <w:rPr>
          <w:rFonts w:asciiTheme="minorHAnsi" w:hAnsiTheme="minorHAnsi"/>
          <w:sz w:val="20"/>
          <w:szCs w:val="20"/>
        </w:rPr>
        <w:t xml:space="preserve"> </w:t>
      </w:r>
      <w:r w:rsidRPr="00C45748">
        <w:rPr>
          <w:rFonts w:asciiTheme="minorHAnsi" w:hAnsiTheme="minorHAnsi"/>
          <w:sz w:val="20"/>
          <w:szCs w:val="20"/>
        </w:rPr>
        <w:t>MW; sin embargo, el miedo de rebasar los objetivos europeos provocó una vuelta a</w:t>
      </w:r>
      <w:r w:rsidR="00527B71">
        <w:rPr>
          <w:rFonts w:asciiTheme="minorHAnsi" w:hAnsiTheme="minorHAnsi"/>
          <w:sz w:val="20"/>
          <w:szCs w:val="20"/>
        </w:rPr>
        <w:t>trás, con nuevas políticas como</w:t>
      </w:r>
      <w:r w:rsidRPr="00C45748">
        <w:rPr>
          <w:rFonts w:asciiTheme="minorHAnsi" w:hAnsiTheme="minorHAnsi"/>
          <w:sz w:val="20"/>
          <w:szCs w:val="20"/>
        </w:rPr>
        <w:t xml:space="preserve"> pujas para las tarifas, tarifas definidas ex post la inversión, pagos por MW ge</w:t>
      </w:r>
      <w:r w:rsidR="00527B71">
        <w:rPr>
          <w:rFonts w:asciiTheme="minorHAnsi" w:hAnsiTheme="minorHAnsi"/>
          <w:sz w:val="20"/>
          <w:szCs w:val="20"/>
        </w:rPr>
        <w:t>nerado a un fondo gubernamental</w:t>
      </w:r>
      <w:r w:rsidRPr="00C45748">
        <w:rPr>
          <w:rFonts w:asciiTheme="minorHAnsi" w:hAnsiTheme="minorHAnsi"/>
          <w:sz w:val="20"/>
          <w:szCs w:val="20"/>
        </w:rPr>
        <w:t xml:space="preserve"> o prohibición de desarrollo de renovables en casi la mitad de los terrenos agrícolas</w:t>
      </w:r>
      <w:r w:rsidR="00451945">
        <w:rPr>
          <w:rFonts w:asciiTheme="minorHAnsi" w:hAnsiTheme="minorHAnsi"/>
          <w:sz w:val="20"/>
          <w:szCs w:val="20"/>
        </w:rPr>
        <w:t>.</w:t>
      </w:r>
      <w:r w:rsidRPr="00C45748">
        <w:rPr>
          <w:rFonts w:asciiTheme="minorHAnsi" w:hAnsiTheme="minorHAnsi"/>
          <w:sz w:val="20"/>
          <w:szCs w:val="20"/>
        </w:rPr>
        <w:t xml:space="preserve"> (RER 04.04)</w:t>
      </w:r>
      <w:r w:rsidR="004519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Los ministros belgas alcanzan el acuerdo para lograr una cuota renovable del 50% para 2050 y para la planificación de la hoja de ruta que concretará los detalles a principios del próximo año. </w:t>
      </w:r>
      <w:r w:rsidRPr="00C45748">
        <w:rPr>
          <w:rFonts w:asciiTheme="minorHAnsi" w:hAnsiTheme="minorHAnsi"/>
          <w:sz w:val="20"/>
          <w:szCs w:val="20"/>
        </w:rPr>
        <w:t>También acordaron trabajar más estrechamente para eliminar los obstáculos a la inversión en capacidad generadora y ahorro energético</w:t>
      </w:r>
      <w:r w:rsidR="00451945">
        <w:rPr>
          <w:rFonts w:asciiTheme="minorHAnsi" w:hAnsiTheme="minorHAnsi"/>
          <w:sz w:val="20"/>
          <w:szCs w:val="20"/>
        </w:rPr>
        <w:t>.</w:t>
      </w:r>
      <w:r w:rsidRPr="00C45748">
        <w:rPr>
          <w:rFonts w:asciiTheme="minorHAnsi" w:hAnsiTheme="minorHAnsi"/>
          <w:sz w:val="20"/>
          <w:szCs w:val="20"/>
        </w:rPr>
        <w:t xml:space="preserve"> (EUE, 08.04). </w:t>
      </w:r>
    </w:p>
    <w:p w:rsidR="00C45748" w:rsidRDefault="00C45748" w:rsidP="00A968D0">
      <w:pPr>
        <w:pStyle w:val="Default"/>
        <w:numPr>
          <w:ilvl w:val="0"/>
          <w:numId w:val="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El regulador turco EPDK, concedió 27 nuevas licencias en marzo para proyectos de generación renovable, que suman 590</w:t>
      </w:r>
      <w:r w:rsidR="00451945">
        <w:rPr>
          <w:rFonts w:asciiTheme="minorHAnsi" w:hAnsiTheme="minorHAnsi"/>
          <w:b/>
          <w:bCs/>
          <w:sz w:val="20"/>
          <w:szCs w:val="20"/>
        </w:rPr>
        <w:t xml:space="preserve"> </w:t>
      </w:r>
      <w:r w:rsidRPr="00C45748">
        <w:rPr>
          <w:rFonts w:asciiTheme="minorHAnsi" w:hAnsiTheme="minorHAnsi"/>
          <w:b/>
          <w:bCs/>
          <w:sz w:val="20"/>
          <w:szCs w:val="20"/>
        </w:rPr>
        <w:t xml:space="preserve">MW. </w:t>
      </w:r>
      <w:r w:rsidRPr="00C45748">
        <w:rPr>
          <w:rFonts w:asciiTheme="minorHAnsi" w:hAnsiTheme="minorHAnsi"/>
          <w:sz w:val="20"/>
          <w:szCs w:val="20"/>
        </w:rPr>
        <w:t>De éstas, 17 son para parques eólicos proyectados en regiones donde no hay competencia por el acceso a la red; aquéllos en regiones donde sí hay, están sujetos a licitación. Una de esas licencias para una instalación de 48</w:t>
      </w:r>
      <w:r w:rsidR="00451945">
        <w:rPr>
          <w:rFonts w:asciiTheme="minorHAnsi" w:hAnsiTheme="minorHAnsi"/>
          <w:sz w:val="20"/>
          <w:szCs w:val="20"/>
        </w:rPr>
        <w:t xml:space="preserve"> </w:t>
      </w:r>
      <w:r w:rsidRPr="00C45748">
        <w:rPr>
          <w:rFonts w:asciiTheme="minorHAnsi" w:hAnsiTheme="minorHAnsi"/>
          <w:sz w:val="20"/>
          <w:szCs w:val="20"/>
        </w:rPr>
        <w:t>MW, le ha sido concedida a Iberdrola Yenilenebilir Enerji</w:t>
      </w:r>
      <w:r w:rsidR="00451945">
        <w:rPr>
          <w:rFonts w:asciiTheme="minorHAnsi" w:hAnsiTheme="minorHAnsi"/>
          <w:sz w:val="20"/>
          <w:szCs w:val="20"/>
        </w:rPr>
        <w:t>.</w:t>
      </w:r>
      <w:r w:rsidRPr="00C45748">
        <w:rPr>
          <w:rFonts w:asciiTheme="minorHAnsi" w:hAnsiTheme="minorHAnsi"/>
          <w:sz w:val="20"/>
          <w:szCs w:val="20"/>
        </w:rPr>
        <w:t xml:space="preserve"> (RER, 18.04). </w:t>
      </w:r>
    </w:p>
    <w:p w:rsidR="00C45748" w:rsidRPr="00C45748" w:rsidRDefault="00C45748" w:rsidP="00C45748">
      <w:pPr>
        <w:pStyle w:val="Ttulo3"/>
      </w:pPr>
      <w:r w:rsidRPr="00C45748">
        <w:t xml:space="preserve">Europa – Tarifas, precios y protección al consumidor </w:t>
      </w:r>
    </w:p>
    <w:p w:rsidR="00C45748" w:rsidRPr="00C45748" w:rsidRDefault="00C45748" w:rsidP="00A968D0">
      <w:pPr>
        <w:pStyle w:val="Default"/>
        <w:numPr>
          <w:ilvl w:val="1"/>
          <w:numId w:val="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CE advierte sobre las tarifas reguladas en Italia, Polonia y Rumanía. </w:t>
      </w:r>
      <w:r w:rsidRPr="00C45748">
        <w:rPr>
          <w:rFonts w:asciiTheme="minorHAnsi" w:hAnsiTheme="minorHAnsi"/>
          <w:sz w:val="20"/>
          <w:szCs w:val="20"/>
        </w:rPr>
        <w:t>Si en 2 meses no las han adaptado a la normativa europea serán llevados ante el Tribunal europeo de justicia. Estas tarifas sólo se pueden mantener un periodo de transición determinado y bajo ciertas circunstancias –normalmente, para proteger a ciertos consumidores. (PIE 18.04)</w:t>
      </w:r>
      <w:r w:rsidR="00451945">
        <w:rPr>
          <w:rFonts w:asciiTheme="minorHAnsi" w:hAnsiTheme="minorHAnsi"/>
          <w:sz w:val="20"/>
          <w:szCs w:val="20"/>
        </w:rPr>
        <w:t>.</w:t>
      </w:r>
    </w:p>
    <w:p w:rsidR="00C45748" w:rsidRPr="00C45748" w:rsidRDefault="00C45748" w:rsidP="00A968D0">
      <w:pPr>
        <w:pStyle w:val="Default"/>
        <w:numPr>
          <w:ilvl w:val="1"/>
          <w:numId w:val="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El gobierno francés decide congelar las tarifas de gas y limitar el incremento de la tarifa eléctrica por debajo de la inflación</w:t>
      </w:r>
      <w:r w:rsidRPr="00C45748">
        <w:rPr>
          <w:rFonts w:asciiTheme="minorHAnsi" w:hAnsiTheme="minorHAnsi"/>
          <w:sz w:val="20"/>
          <w:szCs w:val="20"/>
        </w:rPr>
        <w:t xml:space="preserve">, como parte de una gama de medidas para proteger a los consumidores. Las tarifas eléctricas reguladas ofrecidas por EDF, subirán un 1,7% desde julio. El gobierno también prevé una subida en la tasa de servicios públicos para usuarios de electricidad de 1,2% desde julio, y de otro 1,2 % desde 2012. (EUE 08.04). </w:t>
      </w:r>
      <w:r w:rsidRPr="00C45748">
        <w:rPr>
          <w:rFonts w:asciiTheme="minorHAnsi" w:hAnsiTheme="minorHAnsi"/>
          <w:b/>
          <w:bCs/>
          <w:sz w:val="20"/>
          <w:szCs w:val="20"/>
        </w:rPr>
        <w:t xml:space="preserve">El organismo de la industria eléctrica minorista ANODE, pide mayores reformas </w:t>
      </w:r>
      <w:r w:rsidRPr="00C45748">
        <w:rPr>
          <w:rFonts w:asciiTheme="minorHAnsi" w:hAnsiTheme="minorHAnsi"/>
          <w:sz w:val="20"/>
          <w:szCs w:val="20"/>
        </w:rPr>
        <w:t>y critica la limitación de la subida tarifaria, mientras expresa su preocupación por el posible retraso en la implementación de la ley NOME. (PIE 18.04)</w:t>
      </w:r>
      <w:r w:rsidR="00451945">
        <w:rPr>
          <w:rFonts w:asciiTheme="minorHAnsi" w:hAnsiTheme="minorHAnsi"/>
          <w:sz w:val="20"/>
          <w:szCs w:val="20"/>
        </w:rPr>
        <w:t xml:space="preserve"> y </w:t>
      </w:r>
      <w:r w:rsidRPr="00C45748">
        <w:rPr>
          <w:rFonts w:asciiTheme="minorHAnsi" w:hAnsiTheme="minorHAnsi"/>
          <w:sz w:val="20"/>
          <w:szCs w:val="20"/>
        </w:rPr>
        <w:t xml:space="preserve">(EUE 22.04) </w:t>
      </w:r>
    </w:p>
    <w:p w:rsidR="00C45748" w:rsidRPr="00C45748" w:rsidRDefault="00C45748" w:rsidP="00A968D0">
      <w:pPr>
        <w:pStyle w:val="Default"/>
        <w:numPr>
          <w:ilvl w:val="1"/>
          <w:numId w:val="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El regulador Irlandés CER, ha anunciado sus planes para liberalizar las tarifas eléctricas domésticas a partir de abril</w:t>
      </w:r>
      <w:r w:rsidRPr="00C45748">
        <w:rPr>
          <w:rFonts w:asciiTheme="minorHAnsi" w:hAnsiTheme="minorHAnsi"/>
          <w:sz w:val="20"/>
          <w:szCs w:val="20"/>
        </w:rPr>
        <w:t>, permitiendo que el principal comercializador Electric Ireland, fije las tarifas sin su aprobación previa por la CER. En octubre de 2010 ya se desregularon las tarifas industriales. CER confirma la madurez del mercado pues en los dos últimos años, el 40% de los consumidores han cambiado de suministrador.</w:t>
      </w:r>
      <w:r w:rsidR="00451945">
        <w:rPr>
          <w:rFonts w:asciiTheme="minorHAnsi" w:hAnsiTheme="minorHAnsi"/>
          <w:sz w:val="20"/>
          <w:szCs w:val="20"/>
        </w:rPr>
        <w:t xml:space="preserve"> </w:t>
      </w:r>
      <w:r w:rsidRPr="00C45748">
        <w:rPr>
          <w:rFonts w:asciiTheme="minorHAnsi" w:hAnsiTheme="minorHAnsi"/>
          <w:sz w:val="20"/>
          <w:szCs w:val="20"/>
        </w:rPr>
        <w:t xml:space="preserve">(Nomura 07.03) </w:t>
      </w:r>
      <w:r w:rsidR="00451945">
        <w:rPr>
          <w:rFonts w:asciiTheme="minorHAnsi" w:hAnsiTheme="minorHAnsi"/>
          <w:sz w:val="20"/>
          <w:szCs w:val="20"/>
        </w:rPr>
        <w:t xml:space="preserve">y </w:t>
      </w:r>
      <w:r w:rsidRPr="00C45748">
        <w:rPr>
          <w:rFonts w:asciiTheme="minorHAnsi" w:hAnsiTheme="minorHAnsi"/>
          <w:sz w:val="20"/>
          <w:szCs w:val="20"/>
        </w:rPr>
        <w:t xml:space="preserve">(EUE 11.03) </w:t>
      </w:r>
    </w:p>
    <w:p w:rsidR="00C45748" w:rsidRPr="00C45748" w:rsidRDefault="00C45748" w:rsidP="00A968D0">
      <w:pPr>
        <w:pStyle w:val="Default"/>
        <w:numPr>
          <w:ilvl w:val="1"/>
          <w:numId w:val="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Las compañías energéticas británicas prepara una nueva ronda de subidas de tarifas de gas y electricidad, </w:t>
      </w:r>
      <w:r w:rsidRPr="00C45748">
        <w:rPr>
          <w:rFonts w:asciiTheme="minorHAnsi" w:hAnsiTheme="minorHAnsi"/>
          <w:sz w:val="20"/>
          <w:szCs w:val="20"/>
        </w:rPr>
        <w:t>pudiendo subir los precios entre el 10% al 15% a comienzos de verano</w:t>
      </w:r>
      <w:r w:rsidR="00451945">
        <w:rPr>
          <w:rFonts w:asciiTheme="minorHAnsi" w:hAnsiTheme="minorHAnsi"/>
          <w:sz w:val="20"/>
          <w:szCs w:val="20"/>
        </w:rPr>
        <w:t>.</w:t>
      </w:r>
      <w:r w:rsidRPr="00C45748">
        <w:rPr>
          <w:rFonts w:asciiTheme="minorHAnsi" w:hAnsiTheme="minorHAnsi"/>
          <w:sz w:val="20"/>
          <w:szCs w:val="20"/>
        </w:rPr>
        <w:t xml:space="preserve"> (The Sunday Times 04.04) </w:t>
      </w:r>
    </w:p>
    <w:p w:rsidR="00C45748" w:rsidRPr="00C45748" w:rsidRDefault="00C45748" w:rsidP="00C45748">
      <w:pPr>
        <w:pStyle w:val="Default"/>
        <w:jc w:val="both"/>
        <w:rPr>
          <w:rFonts w:asciiTheme="minorHAnsi" w:hAnsiTheme="minorHAnsi"/>
          <w:sz w:val="20"/>
          <w:szCs w:val="20"/>
        </w:rPr>
      </w:pPr>
    </w:p>
    <w:p w:rsidR="00C45748" w:rsidRPr="00C45748" w:rsidRDefault="00C45748" w:rsidP="00C45748">
      <w:pPr>
        <w:pStyle w:val="Ttulo3"/>
      </w:pPr>
      <w:r w:rsidRPr="00C45748">
        <w:lastRenderedPageBreak/>
        <w:t xml:space="preserve">Europa –Redes e infraestructuras </w:t>
      </w:r>
    </w:p>
    <w:p w:rsidR="00C45748" w:rsidRPr="00C45748" w:rsidRDefault="00C45748"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puesta en marcha del </w:t>
      </w:r>
      <w:r w:rsidRPr="00C45748">
        <w:rPr>
          <w:rFonts w:asciiTheme="minorHAnsi" w:hAnsiTheme="minorHAnsi"/>
          <w:b/>
          <w:bCs/>
          <w:i/>
          <w:iCs/>
          <w:sz w:val="20"/>
          <w:szCs w:val="20"/>
        </w:rPr>
        <w:t xml:space="preserve">smart metering </w:t>
      </w:r>
      <w:r w:rsidRPr="00C45748">
        <w:rPr>
          <w:rFonts w:asciiTheme="minorHAnsi" w:hAnsiTheme="minorHAnsi"/>
          <w:b/>
          <w:bCs/>
          <w:sz w:val="20"/>
          <w:szCs w:val="20"/>
        </w:rPr>
        <w:t xml:space="preserve">comenzará en los Países Bajos en 2012, tras dos años de debates. </w:t>
      </w:r>
      <w:r w:rsidRPr="00C45748">
        <w:rPr>
          <w:rFonts w:asciiTheme="minorHAnsi" w:hAnsiTheme="minorHAnsi"/>
          <w:sz w:val="20"/>
          <w:szCs w:val="20"/>
        </w:rPr>
        <w:t>En dos años se efectuará una revisión basada en los datos obtenidos por el regulador</w:t>
      </w:r>
      <w:r w:rsidR="00451945">
        <w:rPr>
          <w:rFonts w:asciiTheme="minorHAnsi" w:hAnsiTheme="minorHAnsi"/>
          <w:sz w:val="20"/>
          <w:szCs w:val="20"/>
        </w:rPr>
        <w:t>.</w:t>
      </w:r>
      <w:r w:rsidRPr="00C45748">
        <w:rPr>
          <w:rFonts w:asciiTheme="minorHAnsi" w:hAnsiTheme="minorHAnsi"/>
          <w:sz w:val="20"/>
          <w:szCs w:val="20"/>
        </w:rPr>
        <w:t xml:space="preserve"> (EUE 11.03). </w:t>
      </w:r>
    </w:p>
    <w:p w:rsidR="00C45748" w:rsidRPr="00C45748" w:rsidRDefault="00C45748"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empresa estonia Eesti Energia instalará 640.000 contadores inteligentes</w:t>
      </w:r>
      <w:r w:rsidRPr="00C45748">
        <w:rPr>
          <w:rFonts w:asciiTheme="minorHAnsi" w:hAnsiTheme="minorHAnsi"/>
          <w:sz w:val="20"/>
          <w:szCs w:val="20"/>
        </w:rPr>
        <w:t>, de aquí al 2016. (PIE 21.03)</w:t>
      </w:r>
      <w:r w:rsidR="00451945">
        <w:rPr>
          <w:rFonts w:asciiTheme="minorHAnsi" w:hAnsiTheme="minorHAnsi"/>
          <w:sz w:val="20"/>
          <w:szCs w:val="20"/>
        </w:rPr>
        <w:t>.</w:t>
      </w:r>
    </w:p>
    <w:p w:rsidR="00C45748" w:rsidRPr="00C45748" w:rsidRDefault="00C45748"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Reino Unido pretende el despliegue masivo del </w:t>
      </w:r>
      <w:r w:rsidRPr="00C45748">
        <w:rPr>
          <w:rFonts w:asciiTheme="minorHAnsi" w:hAnsiTheme="minorHAnsi"/>
          <w:b/>
          <w:bCs/>
          <w:i/>
          <w:iCs/>
          <w:sz w:val="20"/>
          <w:szCs w:val="20"/>
        </w:rPr>
        <w:t xml:space="preserve">smart metering </w:t>
      </w:r>
      <w:r w:rsidRPr="00C45748">
        <w:rPr>
          <w:rFonts w:asciiTheme="minorHAnsi" w:hAnsiTheme="minorHAnsi"/>
          <w:b/>
          <w:bCs/>
          <w:sz w:val="20"/>
          <w:szCs w:val="20"/>
        </w:rPr>
        <w:t xml:space="preserve">entre 2014 y 2019, </w:t>
      </w:r>
      <w:r w:rsidRPr="00C45748">
        <w:rPr>
          <w:rFonts w:asciiTheme="minorHAnsi" w:hAnsiTheme="minorHAnsi"/>
          <w:sz w:val="20"/>
          <w:szCs w:val="20"/>
        </w:rPr>
        <w:t>los cuales permiten a los consumidores domésticos controlar su uso de electricidad y gas, limitando los picos y valles en la demanda energética nacional. Aunque algunas compañías ya han empezado a comercializarlos, su desarrollo no es masivo. El coste de los medidores será internalizado en las ofertas comerciales de los suministradores. (EUE 08.04)</w:t>
      </w:r>
      <w:r w:rsidR="004519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El secretario de energía británico, Chris Huhne, apoya la bajada de tarifas de transporte para las renovables escocesas</w:t>
      </w:r>
      <w:r w:rsidRPr="00C45748">
        <w:rPr>
          <w:rFonts w:asciiTheme="minorHAnsi" w:hAnsiTheme="minorHAnsi"/>
          <w:sz w:val="20"/>
          <w:szCs w:val="20"/>
        </w:rPr>
        <w:t xml:space="preserve">, una solicitud que piden desde hace tiempo el gobierno y productores escoceses, como SSE y Scottish Power. Estos afirman que el régimen de transporte, responsabilidad del regulador británico Ofgem, hace antieconómica la gestión de centrales en el norte. (EUE 08.04) </w:t>
      </w:r>
    </w:p>
    <w:p w:rsidR="00C45748" w:rsidRPr="00C45748" w:rsidRDefault="00C45748"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Suiza n</w:t>
      </w:r>
      <w:r w:rsidR="00527B71">
        <w:rPr>
          <w:rFonts w:asciiTheme="minorHAnsi" w:hAnsiTheme="minorHAnsi"/>
          <w:b/>
          <w:bCs/>
          <w:sz w:val="20"/>
          <w:szCs w:val="20"/>
        </w:rPr>
        <w:t xml:space="preserve">ecesita entre 29.000 y 33.000 M </w:t>
      </w:r>
      <w:r w:rsidRPr="00C45748">
        <w:rPr>
          <w:rFonts w:asciiTheme="minorHAnsi" w:hAnsiTheme="minorHAnsi"/>
          <w:b/>
          <w:bCs/>
          <w:sz w:val="20"/>
          <w:szCs w:val="20"/>
        </w:rPr>
        <w:t xml:space="preserve">CHF </w:t>
      </w:r>
      <w:r w:rsidRPr="00C45748">
        <w:rPr>
          <w:rFonts w:asciiTheme="minorHAnsi" w:hAnsiTheme="minorHAnsi"/>
          <w:sz w:val="20"/>
          <w:szCs w:val="20"/>
        </w:rPr>
        <w:t>(22.000-25.600</w:t>
      </w:r>
      <w:r w:rsidR="00451945">
        <w:rPr>
          <w:rFonts w:asciiTheme="minorHAnsi" w:hAnsiTheme="minorHAnsi"/>
          <w:sz w:val="20"/>
          <w:szCs w:val="20"/>
        </w:rPr>
        <w:t xml:space="preserve"> </w:t>
      </w:r>
      <w:r w:rsidRPr="00C45748">
        <w:rPr>
          <w:rFonts w:asciiTheme="minorHAnsi" w:hAnsiTheme="minorHAnsi"/>
          <w:sz w:val="20"/>
          <w:szCs w:val="20"/>
        </w:rPr>
        <w:t>M</w:t>
      </w:r>
      <w:r w:rsidR="006D2AD3">
        <w:rPr>
          <w:rFonts w:asciiTheme="minorHAnsi" w:hAnsiTheme="minorHAnsi"/>
          <w:sz w:val="20"/>
          <w:szCs w:val="20"/>
        </w:rPr>
        <w:t>€</w:t>
      </w:r>
      <w:r w:rsidRPr="00C45748">
        <w:rPr>
          <w:rFonts w:asciiTheme="minorHAnsi" w:hAnsiTheme="minorHAnsi"/>
          <w:sz w:val="20"/>
          <w:szCs w:val="20"/>
        </w:rPr>
        <w:t xml:space="preserve">) </w:t>
      </w:r>
      <w:r w:rsidRPr="00C45748">
        <w:rPr>
          <w:rFonts w:asciiTheme="minorHAnsi" w:hAnsiTheme="minorHAnsi"/>
          <w:b/>
          <w:bCs/>
          <w:sz w:val="20"/>
          <w:szCs w:val="20"/>
        </w:rPr>
        <w:t xml:space="preserve">para modernizar su infraestructura eléctrica nacional, </w:t>
      </w:r>
      <w:r w:rsidRPr="00C45748">
        <w:rPr>
          <w:rFonts w:asciiTheme="minorHAnsi" w:hAnsiTheme="minorHAnsi"/>
          <w:sz w:val="20"/>
          <w:szCs w:val="20"/>
        </w:rPr>
        <w:t xml:space="preserve">durante los próximos 20 años, según el </w:t>
      </w:r>
      <w:r w:rsidRPr="00451945">
        <w:rPr>
          <w:rFonts w:asciiTheme="minorHAnsi" w:hAnsiTheme="minorHAnsi"/>
          <w:sz w:val="20"/>
          <w:szCs w:val="20"/>
        </w:rPr>
        <w:t xml:space="preserve">informe </w:t>
      </w:r>
      <w:r w:rsidRPr="00C45748">
        <w:rPr>
          <w:rFonts w:asciiTheme="minorHAnsi" w:hAnsiTheme="minorHAnsi"/>
          <w:sz w:val="20"/>
          <w:szCs w:val="20"/>
        </w:rPr>
        <w:t xml:space="preserve">sobre “el futuro de las infraestructuras de redes nacionales”, emitido por UVEK, Ministerio federal de energía y medio ambiente, (EUE 11.03). Además, </w:t>
      </w:r>
      <w:r w:rsidRPr="00C45748">
        <w:rPr>
          <w:rFonts w:asciiTheme="minorHAnsi" w:hAnsiTheme="minorHAnsi"/>
          <w:b/>
          <w:bCs/>
          <w:sz w:val="20"/>
          <w:szCs w:val="20"/>
        </w:rPr>
        <w:t xml:space="preserve">UVEK reduce el coste de capital reconocido en inversiones en redes de transporte con un </w:t>
      </w:r>
      <w:r w:rsidRPr="00C45748">
        <w:rPr>
          <w:rFonts w:asciiTheme="minorHAnsi" w:hAnsiTheme="minorHAnsi"/>
          <w:sz w:val="20"/>
          <w:szCs w:val="20"/>
        </w:rPr>
        <w:t>WACC del 4,15% (en vez del actual 4,25%), dada la necesidad de reducir el coste de transporte en más de 20</w:t>
      </w:r>
      <w:r w:rsidR="00451945">
        <w:rPr>
          <w:rFonts w:asciiTheme="minorHAnsi" w:hAnsiTheme="minorHAnsi"/>
          <w:sz w:val="20"/>
          <w:szCs w:val="20"/>
        </w:rPr>
        <w:t xml:space="preserve"> M CHF (15,5 M</w:t>
      </w:r>
      <w:r w:rsidR="006D2AD3">
        <w:rPr>
          <w:rFonts w:asciiTheme="minorHAnsi" w:hAnsiTheme="minorHAnsi"/>
          <w:sz w:val="20"/>
          <w:szCs w:val="20"/>
        </w:rPr>
        <w:t>€</w:t>
      </w:r>
      <w:r w:rsidR="00451945">
        <w:rPr>
          <w:rFonts w:asciiTheme="minorHAnsi" w:hAnsiTheme="minorHAnsi"/>
          <w:sz w:val="20"/>
          <w:szCs w:val="20"/>
        </w:rPr>
        <w:t>). (EUE 25.03).</w:t>
      </w:r>
    </w:p>
    <w:p w:rsidR="00C45748" w:rsidRPr="00C45748" w:rsidRDefault="00527B71"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Pr>
          <w:rFonts w:asciiTheme="minorHAnsi" w:hAnsiTheme="minorHAnsi"/>
          <w:b/>
          <w:bCs/>
          <w:sz w:val="20"/>
          <w:szCs w:val="20"/>
        </w:rPr>
        <w:t>Polonia consigue 55,68 M€</w:t>
      </w:r>
      <w:r w:rsidR="00C45748" w:rsidRPr="00C45748">
        <w:rPr>
          <w:rFonts w:asciiTheme="minorHAnsi" w:hAnsiTheme="minorHAnsi"/>
          <w:b/>
          <w:bCs/>
          <w:sz w:val="20"/>
          <w:szCs w:val="20"/>
        </w:rPr>
        <w:t xml:space="preserve"> de fondos de la UE para construir una subestación que formará parte del proyecto de conexión de sus redes con las lituanas. </w:t>
      </w:r>
      <w:r w:rsidR="00C45748" w:rsidRPr="00C45748">
        <w:rPr>
          <w:rFonts w:asciiTheme="minorHAnsi" w:hAnsiTheme="minorHAnsi"/>
          <w:sz w:val="20"/>
          <w:szCs w:val="20"/>
        </w:rPr>
        <w:t>Tras 15 años de discusiones, éste es el primero de los 5 proyectos en el lado polaco del LitPol Link, línea de 150 km y 600-1.000</w:t>
      </w:r>
      <w:r w:rsidR="00451945">
        <w:rPr>
          <w:rFonts w:asciiTheme="minorHAnsi" w:hAnsiTheme="minorHAnsi"/>
          <w:sz w:val="20"/>
          <w:szCs w:val="20"/>
        </w:rPr>
        <w:t xml:space="preserve"> </w:t>
      </w:r>
      <w:r w:rsidR="00C45748" w:rsidRPr="00C45748">
        <w:rPr>
          <w:rFonts w:asciiTheme="minorHAnsi" w:hAnsiTheme="minorHAnsi"/>
          <w:sz w:val="20"/>
          <w:szCs w:val="20"/>
        </w:rPr>
        <w:t>MW de capacidad. (EUE, 25.03)</w:t>
      </w:r>
      <w:r w:rsidR="00451945">
        <w:rPr>
          <w:rFonts w:asciiTheme="minorHAnsi" w:hAnsiTheme="minorHAnsi"/>
          <w:sz w:val="20"/>
          <w:szCs w:val="20"/>
        </w:rPr>
        <w:t>.</w:t>
      </w:r>
      <w:r w:rsidR="00C45748" w:rsidRPr="00C45748">
        <w:rPr>
          <w:rFonts w:asciiTheme="minorHAnsi" w:hAnsiTheme="minorHAnsi"/>
          <w:sz w:val="20"/>
          <w:szCs w:val="20"/>
        </w:rPr>
        <w:t xml:space="preserve"> </w:t>
      </w:r>
    </w:p>
    <w:p w:rsidR="00C45748" w:rsidRPr="00C45748" w:rsidRDefault="00C45748"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gobierno italiano ha aprobado la interconexión de alta tensión Italia-Francia </w:t>
      </w:r>
      <w:r w:rsidRPr="00C45748">
        <w:rPr>
          <w:rFonts w:asciiTheme="minorHAnsi" w:hAnsiTheme="minorHAnsi"/>
          <w:sz w:val="20"/>
          <w:szCs w:val="20"/>
        </w:rPr>
        <w:t>de Piemonte-Savoia, de 95 km, que estará operativa en 2016, así como la línea Dolo-Camin, del noroeste de Italia como parte de las medidas para actualizar la red. (PIE 04.04)</w:t>
      </w:r>
      <w:r w:rsidR="004519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4"/>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Ministro de economía alemán quiere aprobar una ley para impulsar la expansión de las redes </w:t>
      </w:r>
      <w:r w:rsidRPr="00C45748">
        <w:rPr>
          <w:rFonts w:asciiTheme="minorHAnsi" w:hAnsiTheme="minorHAnsi"/>
          <w:sz w:val="20"/>
          <w:szCs w:val="20"/>
        </w:rPr>
        <w:t>hasta 3</w:t>
      </w:r>
      <w:r w:rsidR="00451945">
        <w:rPr>
          <w:rFonts w:asciiTheme="minorHAnsi" w:hAnsiTheme="minorHAnsi"/>
          <w:sz w:val="20"/>
          <w:szCs w:val="20"/>
        </w:rPr>
        <w:t>.</w:t>
      </w:r>
      <w:r w:rsidRPr="00C45748">
        <w:rPr>
          <w:rFonts w:asciiTheme="minorHAnsi" w:hAnsiTheme="minorHAnsi"/>
          <w:sz w:val="20"/>
          <w:szCs w:val="20"/>
        </w:rPr>
        <w:t>600</w:t>
      </w:r>
      <w:r w:rsidR="00451945">
        <w:rPr>
          <w:rFonts w:asciiTheme="minorHAnsi" w:hAnsiTheme="minorHAnsi"/>
          <w:sz w:val="20"/>
          <w:szCs w:val="20"/>
        </w:rPr>
        <w:t xml:space="preserve"> </w:t>
      </w:r>
      <w:r w:rsidRPr="00C45748">
        <w:rPr>
          <w:rFonts w:asciiTheme="minorHAnsi" w:hAnsiTheme="minorHAnsi"/>
          <w:sz w:val="20"/>
          <w:szCs w:val="20"/>
        </w:rPr>
        <w:t>km para facilitar el uso de las renovables (biomasa, eólica, solar, etc) y reducir los cuellos de botella burocráticos y regulatorios. Además</w:t>
      </w:r>
      <w:r w:rsidR="00451945">
        <w:rPr>
          <w:rFonts w:asciiTheme="minorHAnsi" w:hAnsiTheme="minorHAnsi"/>
          <w:sz w:val="20"/>
          <w:szCs w:val="20"/>
        </w:rPr>
        <w:t>,</w:t>
      </w:r>
      <w:r w:rsidRPr="00C45748">
        <w:rPr>
          <w:rFonts w:asciiTheme="minorHAnsi" w:hAnsiTheme="minorHAnsi"/>
          <w:sz w:val="20"/>
          <w:szCs w:val="20"/>
        </w:rPr>
        <w:t xml:space="preserve"> el Gobierno impulsará las renovables con el aumento de las FIT para offshore y la mejora de la eficiencia en los edificios. (Reuters 21.03). </w:t>
      </w:r>
    </w:p>
    <w:p w:rsidR="00C45748" w:rsidRPr="00C45748" w:rsidRDefault="00C45748" w:rsidP="007478CA">
      <w:pPr>
        <w:pStyle w:val="Ttulo3"/>
      </w:pPr>
      <w:r w:rsidRPr="00C45748">
        <w:t xml:space="preserve">Europa – Competencia y mercados </w:t>
      </w:r>
    </w:p>
    <w:p w:rsidR="00C45748" w:rsidRPr="00C45748" w:rsidRDefault="00C45748" w:rsidP="00A968D0">
      <w:pPr>
        <w:pStyle w:val="Default"/>
        <w:numPr>
          <w:ilvl w:val="1"/>
          <w:numId w:val="5"/>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Parlamento Europeo estudia eximir a las empresas energéticas del cumplimiento de las reglas de comercio de derivados OTC </w:t>
      </w:r>
      <w:r w:rsidRPr="00C45748">
        <w:rPr>
          <w:rFonts w:asciiTheme="minorHAnsi" w:hAnsiTheme="minorHAnsi"/>
          <w:sz w:val="20"/>
          <w:szCs w:val="20"/>
        </w:rPr>
        <w:t>que la CE está elaborando, ya que al ser un sector ya regulado, su aplicación podría ocasionar una doble legislación. Una solución sería que las energéticas presentasen sus datos financieros a los reguladores para que éstos decidiesen su exención. (EUE 11.03)</w:t>
      </w:r>
      <w:r w:rsidR="004519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5"/>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lastRenderedPageBreak/>
        <w:t xml:space="preserve">El regulador holandés NMa publica su informe anual sobre la </w:t>
      </w:r>
      <w:r w:rsidRPr="00451945">
        <w:rPr>
          <w:rFonts w:asciiTheme="minorHAnsi" w:hAnsiTheme="minorHAnsi"/>
          <w:b/>
          <w:bCs/>
          <w:sz w:val="20"/>
          <w:szCs w:val="20"/>
        </w:rPr>
        <w:t>situación del mercado en 2009</w:t>
      </w:r>
      <w:r w:rsidRPr="00C45748">
        <w:rPr>
          <w:rFonts w:asciiTheme="minorHAnsi" w:hAnsiTheme="minorHAnsi"/>
          <w:b/>
          <w:bCs/>
          <w:sz w:val="20"/>
          <w:szCs w:val="20"/>
        </w:rPr>
        <w:t xml:space="preserve">, </w:t>
      </w:r>
      <w:r w:rsidRPr="00C45748">
        <w:rPr>
          <w:rFonts w:asciiTheme="minorHAnsi" w:hAnsiTheme="minorHAnsi"/>
          <w:sz w:val="20"/>
          <w:szCs w:val="20"/>
        </w:rPr>
        <w:t>en el que concluye la falta de competencia del mercado mayorista y el aumento de concentración. Resalta de modo positivo el acoplamiento de su mercado con el Noroeste de Europa así como el futuro acoplamiento con BritNed. (PIE 21.03)</w:t>
      </w:r>
      <w:r w:rsidR="004519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5"/>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UE espera que la normativa para mejorar la integridad y transparencia de los mercados mayoristas de gas y electricidad se acuerde en junio</w:t>
      </w:r>
      <w:r w:rsidRPr="00C45748">
        <w:rPr>
          <w:rFonts w:asciiTheme="minorHAnsi" w:hAnsiTheme="minorHAnsi"/>
          <w:sz w:val="20"/>
          <w:szCs w:val="20"/>
        </w:rPr>
        <w:t xml:space="preserve">. El borrador requerirá a los </w:t>
      </w:r>
      <w:r w:rsidRPr="00C45748">
        <w:rPr>
          <w:rFonts w:asciiTheme="minorHAnsi" w:hAnsiTheme="minorHAnsi"/>
          <w:i/>
          <w:iCs/>
          <w:sz w:val="20"/>
          <w:szCs w:val="20"/>
        </w:rPr>
        <w:t xml:space="preserve">traders </w:t>
      </w:r>
      <w:r w:rsidRPr="00C45748">
        <w:rPr>
          <w:rFonts w:asciiTheme="minorHAnsi" w:hAnsiTheme="minorHAnsi"/>
          <w:sz w:val="20"/>
          <w:szCs w:val="20"/>
        </w:rPr>
        <w:t xml:space="preserve">de los mercados mayoristas de gas y electricidad que informen de sus intercambios a ACER, aunque queda aún por determinar cómo y qué tipo de información se suministrará así como las multas por incumplimiento. (EUE 25.03) </w:t>
      </w:r>
    </w:p>
    <w:p w:rsidR="007478CA" w:rsidRDefault="00C45748" w:rsidP="00A968D0">
      <w:pPr>
        <w:pStyle w:val="Default"/>
        <w:numPr>
          <w:ilvl w:val="1"/>
          <w:numId w:val="5"/>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CE denuncia a Francia por no implementar la normativa sobre emisiones industriales, </w:t>
      </w:r>
      <w:r w:rsidRPr="00C45748">
        <w:rPr>
          <w:rFonts w:asciiTheme="minorHAnsi" w:hAnsiTheme="minorHAnsi"/>
          <w:sz w:val="20"/>
          <w:szCs w:val="20"/>
        </w:rPr>
        <w:t xml:space="preserve">cuatro años después de la fecha límite de la directiva. (EUE 25.03) </w:t>
      </w:r>
    </w:p>
    <w:p w:rsidR="001E2AE2" w:rsidRDefault="001E2AE2" w:rsidP="00A968D0">
      <w:pPr>
        <w:pStyle w:val="Default"/>
        <w:numPr>
          <w:ilvl w:val="1"/>
          <w:numId w:val="5"/>
        </w:numPr>
        <w:spacing w:before="100" w:beforeAutospacing="1" w:after="120" w:line="276" w:lineRule="auto"/>
        <w:ind w:left="284" w:hanging="284"/>
        <w:jc w:val="both"/>
        <w:rPr>
          <w:rFonts w:asciiTheme="minorHAnsi" w:hAnsiTheme="minorHAnsi"/>
          <w:sz w:val="20"/>
          <w:szCs w:val="20"/>
        </w:rPr>
      </w:pPr>
      <w:r>
        <w:rPr>
          <w:rFonts w:asciiTheme="minorHAnsi" w:hAnsiTheme="minorHAnsi"/>
          <w:b/>
          <w:bCs/>
          <w:sz w:val="20"/>
          <w:szCs w:val="20"/>
        </w:rPr>
        <w:t xml:space="preserve">Polonia </w:t>
      </w:r>
      <w:r w:rsidRPr="007478CA">
        <w:rPr>
          <w:rFonts w:asciiTheme="minorHAnsi" w:hAnsiTheme="minorHAnsi"/>
          <w:b/>
          <w:bCs/>
          <w:sz w:val="20"/>
          <w:szCs w:val="20"/>
        </w:rPr>
        <w:t xml:space="preserve">y la </w:t>
      </w:r>
      <w:r w:rsidR="00527B71">
        <w:rPr>
          <w:rFonts w:asciiTheme="minorHAnsi" w:hAnsiTheme="minorHAnsi"/>
          <w:b/>
          <w:bCs/>
          <w:sz w:val="20"/>
          <w:szCs w:val="20"/>
        </w:rPr>
        <w:t>R</w:t>
      </w:r>
      <w:r w:rsidRPr="007478CA">
        <w:rPr>
          <w:rFonts w:asciiTheme="minorHAnsi" w:hAnsiTheme="minorHAnsi"/>
          <w:b/>
          <w:bCs/>
          <w:sz w:val="20"/>
          <w:szCs w:val="20"/>
        </w:rPr>
        <w:t xml:space="preserve">epublica Checa podrían acoplar sus mercados. </w:t>
      </w:r>
      <w:r w:rsidRPr="007478CA">
        <w:rPr>
          <w:rFonts w:asciiTheme="minorHAnsi" w:hAnsiTheme="minorHAnsi"/>
          <w:sz w:val="20"/>
          <w:szCs w:val="20"/>
        </w:rPr>
        <w:t>Ambos operadores POLPX y OTE están en conversaciones para unificar sus mercado el próximo año</w:t>
      </w:r>
      <w:r>
        <w:rPr>
          <w:rFonts w:asciiTheme="minorHAnsi" w:hAnsiTheme="minorHAnsi"/>
          <w:sz w:val="20"/>
          <w:szCs w:val="20"/>
        </w:rPr>
        <w:t>.</w:t>
      </w:r>
      <w:r w:rsidRPr="007478CA">
        <w:rPr>
          <w:rFonts w:asciiTheme="minorHAnsi" w:hAnsiTheme="minorHAnsi"/>
          <w:sz w:val="20"/>
          <w:szCs w:val="20"/>
        </w:rPr>
        <w:t xml:space="preserve"> (Euractiv 29.03)</w:t>
      </w:r>
      <w:r>
        <w:rPr>
          <w:rFonts w:asciiTheme="minorHAnsi" w:hAnsiTheme="minorHAnsi"/>
          <w:sz w:val="20"/>
          <w:szCs w:val="20"/>
        </w:rPr>
        <w:t>.</w:t>
      </w:r>
    </w:p>
    <w:p w:rsidR="001E2AE2" w:rsidRPr="001E2AE2" w:rsidRDefault="001E2AE2" w:rsidP="00A968D0">
      <w:pPr>
        <w:pStyle w:val="Default"/>
        <w:numPr>
          <w:ilvl w:val="1"/>
          <w:numId w:val="5"/>
        </w:numPr>
        <w:spacing w:before="100" w:beforeAutospacing="1" w:after="120" w:line="276" w:lineRule="auto"/>
        <w:ind w:left="284" w:hanging="284"/>
        <w:jc w:val="both"/>
        <w:rPr>
          <w:rFonts w:asciiTheme="minorHAnsi" w:hAnsiTheme="minorHAnsi"/>
          <w:sz w:val="20"/>
          <w:szCs w:val="20"/>
        </w:rPr>
      </w:pPr>
      <w:r w:rsidRPr="001E2AE2">
        <w:rPr>
          <w:rFonts w:asciiTheme="minorHAnsi" w:hAnsiTheme="minorHAnsi"/>
          <w:b/>
          <w:bCs/>
          <w:sz w:val="20"/>
          <w:szCs w:val="20"/>
        </w:rPr>
        <w:t xml:space="preserve">Turquía lanzará un mercado diario </w:t>
      </w:r>
      <w:r w:rsidRPr="001E2AE2">
        <w:rPr>
          <w:rFonts w:asciiTheme="minorHAnsi" w:hAnsiTheme="minorHAnsi"/>
          <w:sz w:val="20"/>
          <w:szCs w:val="20"/>
        </w:rPr>
        <w:t>(</w:t>
      </w:r>
      <w:r w:rsidRPr="001E2AE2">
        <w:rPr>
          <w:rFonts w:asciiTheme="minorHAnsi" w:hAnsiTheme="minorHAnsi"/>
          <w:i/>
          <w:iCs/>
          <w:sz w:val="20"/>
          <w:szCs w:val="20"/>
        </w:rPr>
        <w:t>day ahead market</w:t>
      </w:r>
      <w:r w:rsidRPr="001E2AE2">
        <w:rPr>
          <w:rFonts w:asciiTheme="minorHAnsi" w:hAnsiTheme="minorHAnsi"/>
          <w:sz w:val="20"/>
          <w:szCs w:val="20"/>
        </w:rPr>
        <w:t xml:space="preserve">) </w:t>
      </w:r>
      <w:r w:rsidRPr="001E2AE2">
        <w:rPr>
          <w:rFonts w:asciiTheme="minorHAnsi" w:hAnsiTheme="minorHAnsi"/>
          <w:b/>
          <w:bCs/>
          <w:sz w:val="20"/>
          <w:szCs w:val="20"/>
        </w:rPr>
        <w:t xml:space="preserve">en mayo, </w:t>
      </w:r>
      <w:r w:rsidRPr="001E2AE2">
        <w:rPr>
          <w:rFonts w:asciiTheme="minorHAnsi" w:hAnsiTheme="minorHAnsi"/>
          <w:sz w:val="20"/>
          <w:szCs w:val="20"/>
        </w:rPr>
        <w:t>y en 2012 otro del tipo OTC. Mientras, sigue trabajando para integrarse en ENTSO-E</w:t>
      </w:r>
      <w:r w:rsidR="00D5626C">
        <w:rPr>
          <w:rFonts w:asciiTheme="minorHAnsi" w:hAnsiTheme="minorHAnsi"/>
          <w:sz w:val="20"/>
          <w:szCs w:val="20"/>
        </w:rPr>
        <w:t>.</w:t>
      </w:r>
      <w:r w:rsidRPr="001E2AE2">
        <w:rPr>
          <w:rFonts w:asciiTheme="minorHAnsi" w:hAnsiTheme="minorHAnsi"/>
          <w:sz w:val="20"/>
          <w:szCs w:val="20"/>
        </w:rPr>
        <w:t xml:space="preserve"> (GPR 21.04)</w:t>
      </w:r>
    </w:p>
    <w:p w:rsidR="00AD1A69" w:rsidRDefault="00AD1A69" w:rsidP="00AD1A69">
      <w:pPr>
        <w:pStyle w:val="Ttulo3"/>
      </w:pPr>
      <w:r w:rsidRPr="007478CA">
        <w:t>Europa – Nuclear</w:t>
      </w:r>
    </w:p>
    <w:p w:rsidR="00AD1A69" w:rsidRPr="00C45748" w:rsidRDefault="00AD1A69" w:rsidP="00A968D0">
      <w:pPr>
        <w:pStyle w:val="Default"/>
        <w:numPr>
          <w:ilvl w:val="0"/>
          <w:numId w:val="6"/>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Existe bastante confusión acerca de la contribución de Electrabel en concepto de impuesto nuclear en Bélgica. </w:t>
      </w:r>
      <w:r w:rsidRPr="00C45748">
        <w:rPr>
          <w:rFonts w:asciiTheme="minorHAnsi" w:hAnsiTheme="minorHAnsi"/>
          <w:sz w:val="20"/>
          <w:szCs w:val="20"/>
        </w:rPr>
        <w:t>En 2009, el gobierno belga y Suez llegaron al acuerdo de que se abonarían hasta 245</w:t>
      </w:r>
      <w:r w:rsidR="00D5626C">
        <w:rPr>
          <w:rFonts w:asciiTheme="minorHAnsi" w:hAnsiTheme="minorHAnsi"/>
          <w:sz w:val="20"/>
          <w:szCs w:val="20"/>
        </w:rPr>
        <w:t xml:space="preserve"> </w:t>
      </w:r>
      <w:r w:rsidRPr="00C45748">
        <w:rPr>
          <w:rFonts w:asciiTheme="minorHAnsi" w:hAnsiTheme="minorHAnsi"/>
          <w:sz w:val="20"/>
          <w:szCs w:val="20"/>
        </w:rPr>
        <w:t xml:space="preserve">M€ anuales en concepto de </w:t>
      </w:r>
      <w:r w:rsidRPr="00C45748">
        <w:rPr>
          <w:rFonts w:asciiTheme="minorHAnsi" w:hAnsiTheme="minorHAnsi"/>
          <w:i/>
          <w:iCs/>
          <w:sz w:val="20"/>
          <w:szCs w:val="20"/>
        </w:rPr>
        <w:t xml:space="preserve">windfall profits </w:t>
      </w:r>
      <w:r w:rsidRPr="00C45748">
        <w:rPr>
          <w:rFonts w:asciiTheme="minorHAnsi" w:hAnsiTheme="minorHAnsi"/>
          <w:sz w:val="20"/>
          <w:szCs w:val="20"/>
        </w:rPr>
        <w:t xml:space="preserve">(derivados de la EU-ETS) y </w:t>
      </w:r>
      <w:r w:rsidRPr="00C45748">
        <w:rPr>
          <w:rFonts w:asciiTheme="minorHAnsi" w:hAnsiTheme="minorHAnsi"/>
          <w:i/>
          <w:iCs/>
          <w:sz w:val="20"/>
          <w:szCs w:val="20"/>
        </w:rPr>
        <w:t xml:space="preserve">stranded benefits </w:t>
      </w:r>
      <w:r w:rsidRPr="00C45748">
        <w:rPr>
          <w:rFonts w:asciiTheme="minorHAnsi" w:hAnsiTheme="minorHAnsi"/>
          <w:sz w:val="20"/>
          <w:szCs w:val="20"/>
        </w:rPr>
        <w:t>(derivados de la depreciación acelerada) a cambio de la extensión de la vida útil de las instalaciones. Esta tasa originalmente se calculó con los datos del Banco Nacional Belga y ahora la debe calcular CREG con los dato</w:t>
      </w:r>
      <w:r w:rsidR="00D5626C">
        <w:rPr>
          <w:rFonts w:asciiTheme="minorHAnsi" w:hAnsiTheme="minorHAnsi"/>
          <w:sz w:val="20"/>
          <w:szCs w:val="20"/>
        </w:rPr>
        <w:t>s de las empresas (EUE, 11.03)</w:t>
      </w:r>
      <w:r w:rsidRPr="00C45748">
        <w:rPr>
          <w:rFonts w:asciiTheme="minorHAnsi" w:hAnsiTheme="minorHAnsi"/>
          <w:sz w:val="20"/>
          <w:szCs w:val="20"/>
        </w:rPr>
        <w:t xml:space="preserve"> coincidiendo con la intención del gobierno belga de incrementar la tasa por encima de los niveles citados. En la actualidad existe un conflicto abierto entre Electrabel y el regulador CREG sobre el suministro de nueva información, por una parte, y sobre el procedimiento para evaluar los supuestos windfall profits. </w:t>
      </w:r>
    </w:p>
    <w:p w:rsidR="00AD1A69" w:rsidRPr="00C45748" w:rsidRDefault="00AD1A69" w:rsidP="00A968D0">
      <w:pPr>
        <w:pStyle w:val="Default"/>
        <w:numPr>
          <w:ilvl w:val="1"/>
          <w:numId w:val="7"/>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autoridad de seguridad nuclear francesa, ASN, podría detener la construcción del primer EPR de EDF, </w:t>
      </w:r>
      <w:r w:rsidRPr="00C45748">
        <w:rPr>
          <w:rFonts w:asciiTheme="minorHAnsi" w:hAnsiTheme="minorHAnsi"/>
          <w:sz w:val="20"/>
          <w:szCs w:val="20"/>
        </w:rPr>
        <w:t xml:space="preserve">en Flamanville-3, tras lo ocurrido en Japón, de acuerdo con declaraciones del presidente del organismo. (PIE 04.04). </w:t>
      </w:r>
      <w:r w:rsidR="00F6092F">
        <w:rPr>
          <w:rFonts w:asciiTheme="minorHAnsi" w:hAnsiTheme="minorHAnsi"/>
          <w:sz w:val="20"/>
          <w:szCs w:val="20"/>
        </w:rPr>
        <w:t>P</w:t>
      </w:r>
      <w:r w:rsidRPr="00C45748">
        <w:rPr>
          <w:rFonts w:asciiTheme="minorHAnsi" w:hAnsiTheme="minorHAnsi"/>
          <w:sz w:val="20"/>
          <w:szCs w:val="20"/>
        </w:rPr>
        <w:t xml:space="preserve">or otro lado, </w:t>
      </w:r>
      <w:r w:rsidRPr="00C45748">
        <w:rPr>
          <w:rFonts w:asciiTheme="minorHAnsi" w:hAnsiTheme="minorHAnsi"/>
          <w:b/>
          <w:bCs/>
          <w:sz w:val="20"/>
          <w:szCs w:val="20"/>
        </w:rPr>
        <w:t xml:space="preserve">el regulador nuclear publicará un informe a finales del primer semestre detallando los planes para mejorar la flota nuclear del país. </w:t>
      </w:r>
      <w:r w:rsidR="00D5626C">
        <w:rPr>
          <w:rFonts w:asciiTheme="minorHAnsi" w:hAnsiTheme="minorHAnsi"/>
          <w:sz w:val="20"/>
          <w:szCs w:val="20"/>
        </w:rPr>
        <w:t>(Bloomberg 17.03).</w:t>
      </w:r>
    </w:p>
    <w:p w:rsidR="00AD1A69" w:rsidRPr="00C45748" w:rsidRDefault="00AD1A69" w:rsidP="00A968D0">
      <w:pPr>
        <w:pStyle w:val="Default"/>
        <w:numPr>
          <w:ilvl w:val="1"/>
          <w:numId w:val="7"/>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gobierno suizo estudia tres posibles escenarios para sus nucleares tras Fukushima: </w:t>
      </w:r>
      <w:r w:rsidRPr="00C45748">
        <w:rPr>
          <w:rFonts w:asciiTheme="minorHAnsi" w:hAnsiTheme="minorHAnsi"/>
          <w:sz w:val="20"/>
          <w:szCs w:val="20"/>
        </w:rPr>
        <w:t>la prematura retirada con el desmantelamiento de los reactores antes del fin de su vida útil; el desmantelamiento al completarse la vida útil acordada previamente; o la preservar la composición del mix eléctrico, reemplazando los 3 reactores más viejos por nuevas estaciones energéticas (sin determinar), posiblemente antes del término acordado, asegurando la “mayor seguridad posible” de la nuclear, que seguiría aportando el 40% del mix. (PIE 04.04). Por otro lado, l</w:t>
      </w:r>
      <w:r w:rsidRPr="00C45748">
        <w:rPr>
          <w:rFonts w:asciiTheme="minorHAnsi" w:hAnsiTheme="minorHAnsi"/>
          <w:b/>
          <w:bCs/>
          <w:sz w:val="20"/>
          <w:szCs w:val="20"/>
        </w:rPr>
        <w:t xml:space="preserve">a Oficina Federal Suiza de Energía (SFOE) ha anunciado que la restauración de los procedimientos de autorización para los tres reactores planeados, suspendidos desde el 14 de marzo, podrían demorarse hasta 5 años. </w:t>
      </w:r>
      <w:r w:rsidRPr="00C45748">
        <w:rPr>
          <w:rFonts w:asciiTheme="minorHAnsi" w:hAnsiTheme="minorHAnsi"/>
          <w:sz w:val="20"/>
          <w:szCs w:val="20"/>
        </w:rPr>
        <w:t>El retraso se debe a que los proyectos deben revisarse sobre la base de criterio</w:t>
      </w:r>
      <w:r w:rsidR="00F6092F">
        <w:rPr>
          <w:rFonts w:asciiTheme="minorHAnsi" w:hAnsiTheme="minorHAnsi"/>
          <w:sz w:val="20"/>
          <w:szCs w:val="20"/>
        </w:rPr>
        <w:t>s aún desconocidos. (PIE 18.04).</w:t>
      </w:r>
    </w:p>
    <w:p w:rsidR="00AD1A69" w:rsidRPr="00C45748" w:rsidRDefault="00AD1A69" w:rsidP="00A968D0">
      <w:pPr>
        <w:pStyle w:val="Default"/>
        <w:numPr>
          <w:ilvl w:val="1"/>
          <w:numId w:val="7"/>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lastRenderedPageBreak/>
        <w:t xml:space="preserve">El primer Ministro británico declara ante el Parlamento que la energía nuclear continúa teniendo un rol importante en el mix energético del Reino Unido </w:t>
      </w:r>
      <w:r w:rsidRPr="00C45748">
        <w:rPr>
          <w:rFonts w:asciiTheme="minorHAnsi" w:hAnsiTheme="minorHAnsi"/>
          <w:sz w:val="20"/>
          <w:szCs w:val="20"/>
        </w:rPr>
        <w:t>ahora y en el futuro. El informe sobre las implicaciones de la crisis nuclear en Japón se publicará en el mes de septiembre, con</w:t>
      </w:r>
      <w:r w:rsidR="00F6092F">
        <w:rPr>
          <w:rFonts w:asciiTheme="minorHAnsi" w:hAnsiTheme="minorHAnsi"/>
          <w:sz w:val="20"/>
          <w:szCs w:val="20"/>
        </w:rPr>
        <w:t xml:space="preserve"> un informe provisional en mayo,</w:t>
      </w:r>
      <w:r w:rsidRPr="00C45748">
        <w:rPr>
          <w:rFonts w:asciiTheme="minorHAnsi" w:hAnsiTheme="minorHAnsi"/>
          <w:sz w:val="20"/>
          <w:szCs w:val="20"/>
        </w:rPr>
        <w:t xml:space="preserve"> (Reuters, Goldman Sachs 17.03) aunque</w:t>
      </w:r>
      <w:r w:rsidR="00F6092F">
        <w:rPr>
          <w:rFonts w:asciiTheme="minorHAnsi" w:hAnsiTheme="minorHAnsi"/>
          <w:sz w:val="20"/>
          <w:szCs w:val="20"/>
        </w:rPr>
        <w:t>,</w:t>
      </w:r>
      <w:r w:rsidRPr="00C45748">
        <w:rPr>
          <w:rFonts w:asciiTheme="minorHAnsi" w:hAnsiTheme="minorHAnsi"/>
          <w:sz w:val="20"/>
          <w:szCs w:val="20"/>
        </w:rPr>
        <w:t xml:space="preserve"> afirma que </w:t>
      </w:r>
      <w:r w:rsidRPr="00C45748">
        <w:rPr>
          <w:rFonts w:asciiTheme="minorHAnsi" w:hAnsiTheme="minorHAnsi"/>
          <w:b/>
          <w:bCs/>
          <w:sz w:val="20"/>
          <w:szCs w:val="20"/>
        </w:rPr>
        <w:t xml:space="preserve">quizás algunas centrales nucleares no serán construidas </w:t>
      </w:r>
      <w:r w:rsidRPr="00C45748">
        <w:rPr>
          <w:rFonts w:asciiTheme="minorHAnsi" w:hAnsiTheme="minorHAnsi"/>
          <w:sz w:val="20"/>
          <w:szCs w:val="20"/>
        </w:rPr>
        <w:t>debido al potencial aumento de los costes y el menor interés de la industria</w:t>
      </w:r>
      <w:r w:rsidR="00F6092F">
        <w:rPr>
          <w:rFonts w:asciiTheme="minorHAnsi" w:hAnsiTheme="minorHAnsi"/>
          <w:sz w:val="20"/>
          <w:szCs w:val="20"/>
        </w:rPr>
        <w:t>. (Daily telegraph, 29.03).</w:t>
      </w:r>
    </w:p>
    <w:p w:rsidR="00AD1A69" w:rsidRPr="00C45748" w:rsidRDefault="00AD1A69" w:rsidP="00A968D0">
      <w:pPr>
        <w:pStyle w:val="Default"/>
        <w:numPr>
          <w:ilvl w:val="1"/>
          <w:numId w:val="7"/>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gobierno italiano aprobó el 23 de marzo la moratoria de programa nuclear durante un año </w:t>
      </w:r>
      <w:r w:rsidRPr="00C45748">
        <w:rPr>
          <w:rFonts w:asciiTheme="minorHAnsi" w:hAnsiTheme="minorHAnsi"/>
          <w:sz w:val="20"/>
          <w:szCs w:val="20"/>
        </w:rPr>
        <w:t xml:space="preserve">y hasta que se analicen las implicaciones que el accidente de Japón puede tener en el sector con vistas a evitar la celebración de un referéndum popular sobre la nuclear el 12 y 13 de junio en un momento políticamente </w:t>
      </w:r>
      <w:r w:rsidR="00F6092F">
        <w:rPr>
          <w:rFonts w:asciiTheme="minorHAnsi" w:hAnsiTheme="minorHAnsi"/>
          <w:sz w:val="20"/>
          <w:szCs w:val="20"/>
        </w:rPr>
        <w:t>desfavorable. (Unicredit 24.03).</w:t>
      </w:r>
    </w:p>
    <w:p w:rsidR="00AD1A69" w:rsidRPr="00C45748" w:rsidRDefault="00AD1A69" w:rsidP="00AD1A69">
      <w:pPr>
        <w:pStyle w:val="Ttulo3"/>
      </w:pPr>
      <w:r w:rsidRPr="00C45748">
        <w:t xml:space="preserve">Europa – Gas </w:t>
      </w:r>
    </w:p>
    <w:p w:rsidR="00AD1A69" w:rsidRPr="00C45748" w:rsidRDefault="00AD1A69" w:rsidP="00A968D0">
      <w:pPr>
        <w:pStyle w:val="Default"/>
        <w:numPr>
          <w:ilvl w:val="0"/>
          <w:numId w:val="8"/>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El gas de esquisto (</w:t>
      </w:r>
      <w:r w:rsidRPr="00C45748">
        <w:rPr>
          <w:rFonts w:asciiTheme="minorHAnsi" w:hAnsiTheme="minorHAnsi"/>
          <w:b/>
          <w:bCs/>
          <w:i/>
          <w:iCs/>
          <w:sz w:val="20"/>
          <w:szCs w:val="20"/>
        </w:rPr>
        <w:t>shale gas</w:t>
      </w:r>
      <w:r w:rsidRPr="00C45748">
        <w:rPr>
          <w:rFonts w:asciiTheme="minorHAnsi" w:hAnsiTheme="minorHAnsi"/>
          <w:b/>
          <w:bCs/>
          <w:sz w:val="20"/>
          <w:szCs w:val="20"/>
        </w:rPr>
        <w:t xml:space="preserve">) es potencialmente significativo en Europa. </w:t>
      </w:r>
      <w:r w:rsidRPr="00C45748">
        <w:rPr>
          <w:rFonts w:asciiTheme="minorHAnsi" w:hAnsiTheme="minorHAnsi"/>
          <w:sz w:val="20"/>
          <w:szCs w:val="20"/>
        </w:rPr>
        <w:t xml:space="preserve">Según el estudio de </w:t>
      </w:r>
      <w:r w:rsidRPr="00F6092F">
        <w:rPr>
          <w:rFonts w:asciiTheme="minorHAnsi" w:hAnsiTheme="minorHAnsi"/>
          <w:sz w:val="20"/>
          <w:szCs w:val="20"/>
        </w:rPr>
        <w:t>IHS CERA</w:t>
      </w:r>
      <w:r w:rsidRPr="00C45748">
        <w:rPr>
          <w:rFonts w:asciiTheme="minorHAnsi" w:hAnsiTheme="minorHAnsi"/>
          <w:sz w:val="20"/>
          <w:szCs w:val="20"/>
        </w:rPr>
        <w:t>, las reservas de gas no convencional rivalizan con las de Norteamérica y podrían ser relevantes para el suministro en los próximos 10-15 años. No obstante, por el momento, existen obstáculos regulatorios, de precio y medioambientales. (PIE 21.03)</w:t>
      </w:r>
      <w:r w:rsidR="00F6092F">
        <w:rPr>
          <w:rFonts w:asciiTheme="minorHAnsi" w:hAnsiTheme="minorHAnsi"/>
          <w:sz w:val="20"/>
          <w:szCs w:val="20"/>
        </w:rPr>
        <w:t>.</w:t>
      </w:r>
      <w:r w:rsidRPr="00C45748">
        <w:rPr>
          <w:rFonts w:asciiTheme="minorHAnsi" w:hAnsiTheme="minorHAnsi"/>
          <w:sz w:val="20"/>
          <w:szCs w:val="20"/>
        </w:rPr>
        <w:t xml:space="preserve"> </w:t>
      </w:r>
    </w:p>
    <w:p w:rsidR="00AD1A69" w:rsidRPr="00C45748" w:rsidRDefault="00AD1A69" w:rsidP="00A968D0">
      <w:pPr>
        <w:pStyle w:val="Default"/>
        <w:numPr>
          <w:ilvl w:val="0"/>
          <w:numId w:val="8"/>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El regulador francés, CRE, ha publicado una serie de propuestas relativas al mecanismo de fijación de las tarifas reguladas de gas</w:t>
      </w:r>
      <w:r w:rsidRPr="00C45748">
        <w:rPr>
          <w:rFonts w:asciiTheme="minorHAnsi" w:hAnsiTheme="minorHAnsi"/>
          <w:sz w:val="20"/>
          <w:szCs w:val="20"/>
        </w:rPr>
        <w:t xml:space="preserve">. La fórmula actual permite a GDF Suez un margen de comercialización razonable y trasladar los costes de sus contratos de aprovisionamientos a sus clientes a tarifa en Francia (190 TWh anuales según el CRE), incrementando hasta el 30% el componente indexado a los precios spot cuando se sitúan por debajo de los contratos a largo plazo. (CREE 05.04). </w:t>
      </w:r>
    </w:p>
    <w:p w:rsidR="00C45748" w:rsidRPr="00C45748" w:rsidRDefault="00AD1A69" w:rsidP="00A968D0">
      <w:pPr>
        <w:pStyle w:val="Default"/>
        <w:numPr>
          <w:ilvl w:val="0"/>
          <w:numId w:val="8"/>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red gasista polaca necesita mejoras para aliviar los problemas de seguridad de suministro de la UE</w:t>
      </w:r>
      <w:r w:rsidRPr="00C45748">
        <w:rPr>
          <w:rFonts w:asciiTheme="minorHAnsi" w:hAnsiTheme="minorHAnsi"/>
          <w:sz w:val="20"/>
          <w:szCs w:val="20"/>
        </w:rPr>
        <w:t xml:space="preserve">, proporcionando fuentes alternativas de suministro de gas, que den cabida a nuevos mercados y nuevos recursos, como el gas de esquisto (EUE 25.03), </w:t>
      </w:r>
      <w:r w:rsidRPr="00C45748">
        <w:rPr>
          <w:rFonts w:asciiTheme="minorHAnsi" w:hAnsiTheme="minorHAnsi"/>
          <w:b/>
          <w:bCs/>
          <w:sz w:val="20"/>
          <w:szCs w:val="20"/>
        </w:rPr>
        <w:t xml:space="preserve">cuya exploración sería fomentada a gran escala, tal y como afirma el primer ministro polaco, </w:t>
      </w:r>
      <w:r w:rsidRPr="00C45748">
        <w:rPr>
          <w:rFonts w:asciiTheme="minorHAnsi" w:hAnsiTheme="minorHAnsi"/>
          <w:sz w:val="20"/>
          <w:szCs w:val="20"/>
        </w:rPr>
        <w:t>pero de manera medioambientalmente segura y viable. E</w:t>
      </w:r>
      <w:r>
        <w:rPr>
          <w:rFonts w:asciiTheme="minorHAnsi" w:hAnsiTheme="minorHAnsi"/>
          <w:sz w:val="20"/>
          <w:szCs w:val="20"/>
        </w:rPr>
        <w:t xml:space="preserve">l ministerio de medioambiente ha </w:t>
      </w:r>
      <w:r w:rsidR="00C45748" w:rsidRPr="00C45748">
        <w:rPr>
          <w:rFonts w:asciiTheme="minorHAnsi" w:hAnsiTheme="minorHAnsi"/>
          <w:sz w:val="20"/>
          <w:szCs w:val="20"/>
        </w:rPr>
        <w:t>concedido más de 70 licencias para la exploración del mismo en los últimos 3 años. (EUE 08.04). Además</w:t>
      </w:r>
      <w:r w:rsidR="00F6092F">
        <w:rPr>
          <w:rFonts w:asciiTheme="minorHAnsi" w:hAnsiTheme="minorHAnsi"/>
          <w:sz w:val="20"/>
          <w:szCs w:val="20"/>
        </w:rPr>
        <w:t>,</w:t>
      </w:r>
      <w:r w:rsidR="00C45748" w:rsidRPr="00C45748">
        <w:rPr>
          <w:rFonts w:asciiTheme="minorHAnsi" w:hAnsiTheme="minorHAnsi"/>
          <w:sz w:val="20"/>
          <w:szCs w:val="20"/>
        </w:rPr>
        <w:t xml:space="preserve"> </w:t>
      </w:r>
      <w:r w:rsidR="00C45748" w:rsidRPr="00C45748">
        <w:rPr>
          <w:rFonts w:asciiTheme="minorHAnsi" w:hAnsiTheme="minorHAnsi"/>
          <w:b/>
          <w:bCs/>
          <w:sz w:val="20"/>
          <w:szCs w:val="20"/>
        </w:rPr>
        <w:t xml:space="preserve">Polonia empieza a construir su primera terminal de GNL, </w:t>
      </w:r>
      <w:r w:rsidR="00C45748" w:rsidRPr="00C45748">
        <w:rPr>
          <w:rFonts w:asciiTheme="minorHAnsi" w:hAnsiTheme="minorHAnsi"/>
          <w:sz w:val="20"/>
          <w:szCs w:val="20"/>
        </w:rPr>
        <w:t>la cual supone un gran paso hacia la diversificación de su suministro energético y la reducción de la dependencia de Rusia. También</w:t>
      </w:r>
      <w:r w:rsidR="00F6092F">
        <w:rPr>
          <w:rFonts w:asciiTheme="minorHAnsi" w:hAnsiTheme="minorHAnsi"/>
          <w:sz w:val="20"/>
          <w:szCs w:val="20"/>
        </w:rPr>
        <w:t>,</w:t>
      </w:r>
      <w:r w:rsidR="00C45748" w:rsidRPr="00C45748">
        <w:rPr>
          <w:rFonts w:asciiTheme="minorHAnsi" w:hAnsiTheme="minorHAnsi"/>
          <w:sz w:val="20"/>
          <w:szCs w:val="20"/>
        </w:rPr>
        <w:t xml:space="preserve"> está llevando a cabo proyectos para aumentar su capacidad por gaseoductos</w:t>
      </w:r>
      <w:r w:rsidR="00F6092F">
        <w:rPr>
          <w:rFonts w:asciiTheme="minorHAnsi" w:hAnsiTheme="minorHAnsi"/>
          <w:sz w:val="20"/>
          <w:szCs w:val="20"/>
        </w:rPr>
        <w:t>.</w:t>
      </w:r>
      <w:r w:rsidR="00C45748" w:rsidRPr="00C45748">
        <w:rPr>
          <w:rFonts w:asciiTheme="minorHAnsi" w:hAnsiTheme="minorHAnsi"/>
          <w:sz w:val="20"/>
          <w:szCs w:val="20"/>
        </w:rPr>
        <w:t xml:space="preserve"> (EUE, 08.04)</w:t>
      </w:r>
      <w:r w:rsidR="00F6092F">
        <w:rPr>
          <w:rFonts w:asciiTheme="minorHAnsi" w:hAnsiTheme="minorHAnsi"/>
          <w:sz w:val="20"/>
          <w:szCs w:val="20"/>
        </w:rPr>
        <w:t>.</w:t>
      </w:r>
      <w:r w:rsidR="00C45748" w:rsidRPr="00C45748">
        <w:rPr>
          <w:rFonts w:asciiTheme="minorHAnsi" w:hAnsiTheme="minorHAnsi"/>
          <w:sz w:val="20"/>
          <w:szCs w:val="20"/>
        </w:rPr>
        <w:t xml:space="preserve"> </w:t>
      </w:r>
    </w:p>
    <w:p w:rsidR="00C45748" w:rsidRPr="00C45748" w:rsidRDefault="00C45748" w:rsidP="00A968D0">
      <w:pPr>
        <w:pStyle w:val="Default"/>
        <w:numPr>
          <w:ilvl w:val="0"/>
          <w:numId w:val="8"/>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Italia lanzará </w:t>
      </w:r>
      <w:r w:rsidR="001F4CCF">
        <w:rPr>
          <w:rFonts w:asciiTheme="minorHAnsi" w:hAnsiTheme="minorHAnsi"/>
          <w:b/>
          <w:bCs/>
          <w:sz w:val="20"/>
          <w:szCs w:val="20"/>
        </w:rPr>
        <w:t>un mercado de ajuste de gas en j</w:t>
      </w:r>
      <w:r w:rsidRPr="00C45748">
        <w:rPr>
          <w:rFonts w:asciiTheme="minorHAnsi" w:hAnsiTheme="minorHAnsi"/>
          <w:b/>
          <w:bCs/>
          <w:sz w:val="20"/>
          <w:szCs w:val="20"/>
        </w:rPr>
        <w:t xml:space="preserve">ulio. </w:t>
      </w:r>
      <w:r w:rsidRPr="00C45748">
        <w:rPr>
          <w:rFonts w:asciiTheme="minorHAnsi" w:hAnsiTheme="minorHAnsi"/>
          <w:sz w:val="20"/>
          <w:szCs w:val="20"/>
        </w:rPr>
        <w:t xml:space="preserve">Esta plataforma será gestionada por GME y servirá para promover la competencia en el mercado. (EUE 22.04) </w:t>
      </w:r>
    </w:p>
    <w:p w:rsidR="00C45748" w:rsidRPr="00C45748" w:rsidRDefault="00C45748" w:rsidP="00AD1A69">
      <w:pPr>
        <w:pStyle w:val="Ttulo3"/>
      </w:pPr>
      <w:r w:rsidRPr="00C45748">
        <w:t xml:space="preserve">Norteamérica – Renovables y Medio Ambiente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Comité de Energía y Recursos Naturales del Senado publica un </w:t>
      </w:r>
      <w:r w:rsidRPr="00F6092F">
        <w:rPr>
          <w:rFonts w:asciiTheme="minorHAnsi" w:hAnsiTheme="minorHAnsi"/>
          <w:b/>
          <w:bCs/>
          <w:sz w:val="20"/>
          <w:szCs w:val="20"/>
        </w:rPr>
        <w:t xml:space="preserve">libro blanco </w:t>
      </w:r>
      <w:r w:rsidRPr="00C45748">
        <w:rPr>
          <w:rFonts w:asciiTheme="minorHAnsi" w:hAnsiTheme="minorHAnsi"/>
          <w:b/>
          <w:bCs/>
          <w:sz w:val="20"/>
          <w:szCs w:val="20"/>
        </w:rPr>
        <w:t>en el que se enuncian las preguntas clave sobre la elaboración de un posible CES (Clean eletricity standard)</w:t>
      </w:r>
      <w:r w:rsidRPr="00C45748">
        <w:rPr>
          <w:rFonts w:asciiTheme="minorHAnsi" w:hAnsiTheme="minorHAnsi"/>
          <w:sz w:val="20"/>
          <w:szCs w:val="20"/>
        </w:rPr>
        <w:t xml:space="preserve">, como respuesta a la propuesta de Obama del pasado mes de enero. El propósito de este documento es conseguir un consenso sobre la implantación de un estándar de energías limpias (CES) en las empresas eléctricas. (GPR, 24.03) </w:t>
      </w:r>
      <w:r w:rsidR="00F6092F">
        <w:rPr>
          <w:rFonts w:asciiTheme="minorHAnsi" w:hAnsiTheme="minorHAnsi"/>
          <w:sz w:val="20"/>
          <w:szCs w:val="20"/>
        </w:rPr>
        <w:t xml:space="preserve">y </w:t>
      </w:r>
      <w:r w:rsidRPr="00C45748">
        <w:rPr>
          <w:rFonts w:asciiTheme="minorHAnsi" w:hAnsiTheme="minorHAnsi"/>
          <w:sz w:val="20"/>
          <w:szCs w:val="20"/>
        </w:rPr>
        <w:t>(Reuters, 22.03)</w:t>
      </w:r>
      <w:r w:rsidR="00F6092F">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lastRenderedPageBreak/>
        <w:t>La EPA propone una serie de regulaciones nacionales que reducirán las emisiones de materiales contaminantes</w:t>
      </w:r>
      <w:r w:rsidRPr="00C45748">
        <w:rPr>
          <w:rFonts w:asciiTheme="minorHAnsi" w:hAnsiTheme="minorHAnsi"/>
          <w:sz w:val="20"/>
          <w:szCs w:val="20"/>
        </w:rPr>
        <w:t>, como el mercurio o el arsénico en las centrales térmicas que funcionan con carbón, lo que supondría el cierre de muchas de las instalaciones más antiguas de las 400 que hay en el país (Washington Post, 17.03)</w:t>
      </w:r>
      <w:r w:rsidR="00F6092F">
        <w:rPr>
          <w:rFonts w:asciiTheme="minorHAnsi" w:hAnsiTheme="minorHAnsi"/>
          <w:sz w:val="20"/>
          <w:szCs w:val="20"/>
        </w:rPr>
        <w:t>.</w:t>
      </w:r>
      <w:r w:rsidRPr="00C45748">
        <w:rPr>
          <w:rFonts w:asciiTheme="minorHAnsi" w:hAnsiTheme="minorHAnsi"/>
          <w:sz w:val="20"/>
          <w:szCs w:val="20"/>
        </w:rPr>
        <w:t xml:space="preserve"> Se estima que </w:t>
      </w:r>
      <w:r w:rsidRPr="00C45748">
        <w:rPr>
          <w:rFonts w:asciiTheme="minorHAnsi" w:hAnsiTheme="minorHAnsi"/>
          <w:b/>
          <w:bCs/>
          <w:sz w:val="20"/>
          <w:szCs w:val="20"/>
        </w:rPr>
        <w:t>la medida afectará a 1.200 unidades de combustión de carbón y 150 de petróleo de todo EE</w:t>
      </w:r>
      <w:r w:rsidR="001F4CCF">
        <w:rPr>
          <w:rFonts w:asciiTheme="minorHAnsi" w:hAnsiTheme="minorHAnsi"/>
          <w:b/>
          <w:bCs/>
          <w:sz w:val="20"/>
          <w:szCs w:val="20"/>
        </w:rPr>
        <w:t>.</w:t>
      </w:r>
      <w:r w:rsidRPr="00C45748">
        <w:rPr>
          <w:rFonts w:asciiTheme="minorHAnsi" w:hAnsiTheme="minorHAnsi"/>
          <w:b/>
          <w:bCs/>
          <w:sz w:val="20"/>
          <w:szCs w:val="20"/>
        </w:rPr>
        <w:t>UU</w:t>
      </w:r>
      <w:r w:rsidR="001F4CCF">
        <w:rPr>
          <w:rFonts w:asciiTheme="minorHAnsi" w:hAnsiTheme="minorHAnsi"/>
          <w:b/>
          <w:bCs/>
          <w:sz w:val="20"/>
          <w:szCs w:val="20"/>
        </w:rPr>
        <w:t>.</w:t>
      </w:r>
      <w:r w:rsidRPr="00C45748">
        <w:rPr>
          <w:rFonts w:asciiTheme="minorHAnsi" w:hAnsiTheme="minorHAnsi"/>
          <w:sz w:val="20"/>
          <w:szCs w:val="20"/>
        </w:rPr>
        <w:t xml:space="preserve">, que tendrán que reducir sus emisiones de mercurio y otros tóxicos un 91% para 2016. La EPA propone revisar la </w:t>
      </w:r>
      <w:r w:rsidRPr="00C45748">
        <w:rPr>
          <w:rFonts w:asciiTheme="minorHAnsi" w:hAnsiTheme="minorHAnsi"/>
          <w:i/>
          <w:iCs/>
          <w:sz w:val="20"/>
          <w:szCs w:val="20"/>
        </w:rPr>
        <w:t>Clean Air Act</w:t>
      </w:r>
      <w:r w:rsidRPr="00C45748">
        <w:rPr>
          <w:rFonts w:asciiTheme="minorHAnsi" w:hAnsiTheme="minorHAnsi"/>
          <w:sz w:val="20"/>
          <w:szCs w:val="20"/>
        </w:rPr>
        <w:t xml:space="preserve"> para establecer estándares de emisiones para las nuevas centrales. (GPR 24.03)</w:t>
      </w:r>
      <w:r w:rsidR="00F6092F">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w:t>
      </w:r>
      <w:r w:rsidRPr="00C45748">
        <w:rPr>
          <w:rFonts w:asciiTheme="minorHAnsi" w:hAnsiTheme="minorHAnsi"/>
          <w:b/>
          <w:bCs/>
          <w:i/>
          <w:iCs/>
          <w:sz w:val="20"/>
          <w:szCs w:val="20"/>
        </w:rPr>
        <w:t xml:space="preserve">Clean Air Transport Rule </w:t>
      </w:r>
      <w:r w:rsidRPr="00C45748">
        <w:rPr>
          <w:rFonts w:asciiTheme="minorHAnsi" w:hAnsiTheme="minorHAnsi"/>
          <w:b/>
          <w:bCs/>
          <w:sz w:val="20"/>
          <w:szCs w:val="20"/>
        </w:rPr>
        <w:t>de la EPA podría forzar al cierre de la central térmica de carbón de Reid de 130</w:t>
      </w:r>
      <w:r w:rsidR="00F6092F">
        <w:rPr>
          <w:rFonts w:asciiTheme="minorHAnsi" w:hAnsiTheme="minorHAnsi"/>
          <w:b/>
          <w:bCs/>
          <w:sz w:val="20"/>
          <w:szCs w:val="20"/>
        </w:rPr>
        <w:t xml:space="preserve"> </w:t>
      </w:r>
      <w:r w:rsidRPr="00C45748">
        <w:rPr>
          <w:rFonts w:asciiTheme="minorHAnsi" w:hAnsiTheme="minorHAnsi"/>
          <w:b/>
          <w:bCs/>
          <w:sz w:val="20"/>
          <w:szCs w:val="20"/>
        </w:rPr>
        <w:t>MW en Kentucky</w:t>
      </w:r>
      <w:r w:rsidRPr="00C45748">
        <w:rPr>
          <w:rFonts w:asciiTheme="minorHAnsi" w:hAnsiTheme="minorHAnsi"/>
          <w:sz w:val="20"/>
          <w:szCs w:val="20"/>
        </w:rPr>
        <w:t xml:space="preserve">, y a reducir la generación otras centrales de carbón para cumplir con las emisiones de NOx impuestas por la norma para 2012. (GPR 03.03).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senado californiano aprueba normativa que exige a las eléctricas obtener con renovables el 33% de la energía para 2020. </w:t>
      </w:r>
      <w:r w:rsidRPr="00C45748">
        <w:rPr>
          <w:rFonts w:asciiTheme="minorHAnsi" w:hAnsiTheme="minorHAnsi"/>
          <w:sz w:val="20"/>
          <w:szCs w:val="20"/>
        </w:rPr>
        <w:t>Aunque el estado ya había establecido este estándar, su ratificación con rango de ley estatal aportará seguridad ju</w:t>
      </w:r>
      <w:r w:rsidR="00F6092F">
        <w:rPr>
          <w:rFonts w:asciiTheme="minorHAnsi" w:hAnsiTheme="minorHAnsi"/>
          <w:sz w:val="20"/>
          <w:szCs w:val="20"/>
        </w:rPr>
        <w:t>rídica y estabilidad al mercado</w:t>
      </w:r>
      <w:r w:rsidRPr="00C45748">
        <w:rPr>
          <w:rFonts w:asciiTheme="minorHAnsi" w:hAnsiTheme="minorHAnsi"/>
          <w:sz w:val="20"/>
          <w:szCs w:val="20"/>
        </w:rPr>
        <w:t xml:space="preserve"> además</w:t>
      </w:r>
      <w:r w:rsidR="00F6092F">
        <w:rPr>
          <w:rFonts w:asciiTheme="minorHAnsi" w:hAnsiTheme="minorHAnsi"/>
          <w:sz w:val="20"/>
          <w:szCs w:val="20"/>
        </w:rPr>
        <w:t>,</w:t>
      </w:r>
      <w:r w:rsidRPr="00C45748">
        <w:rPr>
          <w:rFonts w:asciiTheme="minorHAnsi" w:hAnsiTheme="minorHAnsi"/>
          <w:sz w:val="20"/>
          <w:szCs w:val="20"/>
        </w:rPr>
        <w:t xml:space="preserve"> de facilitar obtención de financiación de estos proyectos. (GPR 03.03) </w:t>
      </w:r>
      <w:r w:rsidR="00F6092F">
        <w:rPr>
          <w:rFonts w:asciiTheme="minorHAnsi" w:hAnsiTheme="minorHAnsi"/>
          <w:sz w:val="20"/>
          <w:szCs w:val="20"/>
        </w:rPr>
        <w:t xml:space="preserve">y </w:t>
      </w:r>
      <w:r w:rsidRPr="00C45748">
        <w:rPr>
          <w:rFonts w:asciiTheme="minorHAnsi" w:hAnsiTheme="minorHAnsi"/>
          <w:sz w:val="20"/>
          <w:szCs w:val="20"/>
        </w:rPr>
        <w:t xml:space="preserve">(GPR 31.03). </w:t>
      </w:r>
      <w:r w:rsidRPr="00C45748">
        <w:rPr>
          <w:rFonts w:asciiTheme="minorHAnsi" w:hAnsiTheme="minorHAnsi"/>
          <w:b/>
          <w:bCs/>
          <w:sz w:val="20"/>
          <w:szCs w:val="20"/>
        </w:rPr>
        <w:t xml:space="preserve">El 12 de abril el gobernador del estado convirtió en ley </w:t>
      </w:r>
      <w:r w:rsidRPr="00C45748">
        <w:rPr>
          <w:rFonts w:asciiTheme="minorHAnsi" w:hAnsiTheme="minorHAnsi"/>
          <w:sz w:val="20"/>
          <w:szCs w:val="20"/>
        </w:rPr>
        <w:t xml:space="preserve">el </w:t>
      </w:r>
      <w:r w:rsidR="00293143" w:rsidRPr="00293143">
        <w:rPr>
          <w:rFonts w:asciiTheme="minorHAnsi" w:hAnsiTheme="minorHAnsi"/>
          <w:bCs/>
          <w:sz w:val="20"/>
          <w:szCs w:val="20"/>
        </w:rPr>
        <w:t>Renewable Portfolio Standard (</w:t>
      </w:r>
      <w:r w:rsidRPr="00C45748">
        <w:rPr>
          <w:rFonts w:asciiTheme="minorHAnsi" w:hAnsiTheme="minorHAnsi"/>
          <w:sz w:val="20"/>
          <w:szCs w:val="20"/>
        </w:rPr>
        <w:t>RPS</w:t>
      </w:r>
      <w:r w:rsidR="00293143">
        <w:rPr>
          <w:rFonts w:asciiTheme="minorHAnsi" w:hAnsiTheme="minorHAnsi"/>
          <w:sz w:val="20"/>
          <w:szCs w:val="20"/>
        </w:rPr>
        <w:t>)</w:t>
      </w:r>
      <w:r w:rsidRPr="00C45748">
        <w:rPr>
          <w:rFonts w:asciiTheme="minorHAnsi" w:hAnsiTheme="minorHAnsi"/>
          <w:sz w:val="20"/>
          <w:szCs w:val="20"/>
        </w:rPr>
        <w:t xml:space="preserve"> más ambicioso de EEUU. (GPR, 14.04)</w:t>
      </w:r>
      <w:r w:rsidR="00F6092F">
        <w:rPr>
          <w:rFonts w:asciiTheme="minorHAnsi" w:hAnsiTheme="minorHAnsi"/>
          <w:sz w:val="20"/>
          <w:szCs w:val="20"/>
        </w:rPr>
        <w:t>.</w:t>
      </w:r>
      <w:r w:rsidRPr="00C45748">
        <w:rPr>
          <w:rFonts w:asciiTheme="minorHAnsi" w:hAnsiTheme="minorHAnsi"/>
          <w:sz w:val="20"/>
          <w:szCs w:val="20"/>
        </w:rPr>
        <w:t xml:space="preserve"> Esta ley aclara los medios de los que pueden valerse las </w:t>
      </w:r>
      <w:r w:rsidR="00F6092F">
        <w:rPr>
          <w:rFonts w:asciiTheme="minorHAnsi" w:hAnsiTheme="minorHAnsi"/>
          <w:sz w:val="20"/>
          <w:szCs w:val="20"/>
        </w:rPr>
        <w:t>eléctricas para alcanzar el RPS</w:t>
      </w:r>
      <w:r w:rsidRPr="00C45748">
        <w:rPr>
          <w:rFonts w:asciiTheme="minorHAnsi" w:hAnsiTheme="minorHAnsi"/>
          <w:sz w:val="20"/>
          <w:szCs w:val="20"/>
        </w:rPr>
        <w:t xml:space="preserve"> y concreta los objetivos de renovables para 2013 (20%), para 2016 (25%) y para 2020 (33%)</w:t>
      </w:r>
      <w:r w:rsidR="00F6092F">
        <w:rPr>
          <w:rFonts w:asciiTheme="minorHAnsi" w:hAnsiTheme="minorHAnsi"/>
          <w:sz w:val="20"/>
          <w:szCs w:val="20"/>
        </w:rPr>
        <w:t xml:space="preserve">. </w:t>
      </w:r>
      <w:r w:rsidRPr="00C45748">
        <w:rPr>
          <w:rFonts w:asciiTheme="minorHAnsi" w:hAnsiTheme="minorHAnsi"/>
          <w:sz w:val="20"/>
          <w:szCs w:val="20"/>
        </w:rPr>
        <w:t xml:space="preserve">(RER 18.04).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Una orden judicial paraliza el plan climático californiano y siembra la inseguridad sobre el futuro del </w:t>
      </w:r>
      <w:r w:rsidRPr="00C45748">
        <w:rPr>
          <w:rFonts w:asciiTheme="minorHAnsi" w:hAnsiTheme="minorHAnsi"/>
          <w:b/>
          <w:bCs/>
          <w:i/>
          <w:iCs/>
          <w:sz w:val="20"/>
          <w:szCs w:val="20"/>
        </w:rPr>
        <w:t>cap-and-trade</w:t>
      </w:r>
      <w:r w:rsidRPr="00C45748">
        <w:rPr>
          <w:rFonts w:asciiTheme="minorHAnsi" w:hAnsiTheme="minorHAnsi"/>
          <w:sz w:val="20"/>
          <w:szCs w:val="20"/>
        </w:rPr>
        <w:t>, hasta que la corte analice alternativas al régimen de comercio de emisiones de GEI. La CARB (</w:t>
      </w:r>
      <w:r w:rsidRPr="00C45748">
        <w:rPr>
          <w:rFonts w:asciiTheme="minorHAnsi" w:hAnsiTheme="minorHAnsi"/>
          <w:i/>
          <w:iCs/>
          <w:sz w:val="20"/>
          <w:szCs w:val="20"/>
        </w:rPr>
        <w:t>California Air Resources Board</w:t>
      </w:r>
      <w:r w:rsidRPr="00C45748">
        <w:rPr>
          <w:rFonts w:asciiTheme="minorHAnsi" w:hAnsiTheme="minorHAnsi"/>
          <w:sz w:val="20"/>
          <w:szCs w:val="20"/>
        </w:rPr>
        <w:t xml:space="preserve">) apelará la decisión y pedirá una aclaración sobre si la orden judicial hace referencia solo al </w:t>
      </w:r>
      <w:r w:rsidRPr="00C45748">
        <w:rPr>
          <w:rFonts w:asciiTheme="minorHAnsi" w:hAnsiTheme="minorHAnsi"/>
          <w:i/>
          <w:iCs/>
          <w:sz w:val="20"/>
          <w:szCs w:val="20"/>
        </w:rPr>
        <w:t xml:space="preserve">cap and trade </w:t>
      </w:r>
      <w:r w:rsidRPr="00C45748">
        <w:rPr>
          <w:rFonts w:asciiTheme="minorHAnsi" w:hAnsiTheme="minorHAnsi"/>
          <w:sz w:val="20"/>
          <w:szCs w:val="20"/>
        </w:rPr>
        <w:t xml:space="preserve">o a todo el plan. (GPR 24.03). Por otra parte, </w:t>
      </w:r>
      <w:r w:rsidRPr="00C45748">
        <w:rPr>
          <w:rFonts w:asciiTheme="minorHAnsi" w:hAnsiTheme="minorHAnsi"/>
          <w:b/>
          <w:bCs/>
          <w:sz w:val="20"/>
          <w:szCs w:val="20"/>
        </w:rPr>
        <w:t xml:space="preserve">California y tres provincias canadienses comenzarán con un programa regional de </w:t>
      </w:r>
      <w:r w:rsidRPr="00C45748">
        <w:rPr>
          <w:rFonts w:asciiTheme="minorHAnsi" w:hAnsiTheme="minorHAnsi"/>
          <w:b/>
          <w:bCs/>
          <w:i/>
          <w:iCs/>
          <w:sz w:val="20"/>
          <w:szCs w:val="20"/>
        </w:rPr>
        <w:t xml:space="preserve">cap and trade </w:t>
      </w:r>
      <w:r w:rsidR="00666A28">
        <w:rPr>
          <w:rFonts w:asciiTheme="minorHAnsi" w:hAnsiTheme="minorHAnsi"/>
          <w:sz w:val="20"/>
          <w:szCs w:val="20"/>
        </w:rPr>
        <w:t>en enero de 2012. (GPR 21.04).</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En Florida se espera que se apruebe este año legislación que impulse el desarrollo de las renovables, </w:t>
      </w:r>
      <w:r w:rsidRPr="00C45748">
        <w:rPr>
          <w:rFonts w:asciiTheme="minorHAnsi" w:hAnsiTheme="minorHAnsi"/>
          <w:sz w:val="20"/>
          <w:szCs w:val="20"/>
        </w:rPr>
        <w:t xml:space="preserve">la cual permitiría a las energéticas invertir hasta un 2% de sus ingresos anuales en proyectos de renovables. (GPR 03.03) </w:t>
      </w:r>
      <w:r w:rsidR="00666A28">
        <w:rPr>
          <w:rFonts w:asciiTheme="minorHAnsi" w:hAnsiTheme="minorHAnsi"/>
          <w:sz w:val="20"/>
          <w:szCs w:val="20"/>
        </w:rPr>
        <w:t xml:space="preserve">y </w:t>
      </w:r>
      <w:r w:rsidRPr="00C45748">
        <w:rPr>
          <w:rFonts w:asciiTheme="minorHAnsi" w:hAnsiTheme="minorHAnsi"/>
          <w:sz w:val="20"/>
          <w:szCs w:val="20"/>
        </w:rPr>
        <w:t xml:space="preserve">(GPR 31.03). Aunque </w:t>
      </w:r>
      <w:r w:rsidRPr="00C45748">
        <w:rPr>
          <w:rFonts w:asciiTheme="minorHAnsi" w:hAnsiTheme="minorHAnsi"/>
          <w:b/>
          <w:bCs/>
          <w:sz w:val="20"/>
          <w:szCs w:val="20"/>
        </w:rPr>
        <w:t xml:space="preserve">el gobernador no apoyará una ley que aumente las tarifas eléctricas </w:t>
      </w:r>
      <w:r w:rsidRPr="00C45748">
        <w:rPr>
          <w:rFonts w:asciiTheme="minorHAnsi" w:hAnsiTheme="minorHAnsi"/>
          <w:sz w:val="20"/>
          <w:szCs w:val="20"/>
        </w:rPr>
        <w:t>a los consumidores</w:t>
      </w:r>
      <w:r w:rsidR="00666A28">
        <w:rPr>
          <w:rFonts w:asciiTheme="minorHAnsi" w:hAnsiTheme="minorHAnsi"/>
          <w:sz w:val="20"/>
          <w:szCs w:val="20"/>
        </w:rPr>
        <w:t>. (GPR 21.04).</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Indiana rechaza una vez más, la normativa para fijar un</w:t>
      </w:r>
      <w:r w:rsidR="00EF29AE">
        <w:rPr>
          <w:rFonts w:asciiTheme="minorHAnsi" w:hAnsiTheme="minorHAnsi"/>
          <w:b/>
          <w:bCs/>
          <w:sz w:val="20"/>
          <w:szCs w:val="20"/>
        </w:rPr>
        <w:t xml:space="preserve"> Renewable Portfolio Standard</w:t>
      </w:r>
      <w:r w:rsidRPr="00C45748">
        <w:rPr>
          <w:rFonts w:asciiTheme="minorHAnsi" w:hAnsiTheme="minorHAnsi"/>
          <w:b/>
          <w:bCs/>
          <w:sz w:val="20"/>
          <w:szCs w:val="20"/>
        </w:rPr>
        <w:t xml:space="preserve"> </w:t>
      </w:r>
      <w:r w:rsidR="00EF29AE" w:rsidRPr="00EF29AE">
        <w:rPr>
          <w:rFonts w:asciiTheme="minorHAnsi" w:hAnsiTheme="minorHAnsi"/>
          <w:b/>
          <w:bCs/>
          <w:sz w:val="20"/>
          <w:szCs w:val="20"/>
        </w:rPr>
        <w:t>(</w:t>
      </w:r>
      <w:r w:rsidRPr="00EF29AE">
        <w:rPr>
          <w:rFonts w:asciiTheme="minorHAnsi" w:hAnsiTheme="minorHAnsi"/>
          <w:b/>
          <w:bCs/>
          <w:sz w:val="20"/>
          <w:szCs w:val="20"/>
        </w:rPr>
        <w:t>RPS</w:t>
      </w:r>
      <w:r w:rsidR="00EF29AE" w:rsidRPr="00EF29AE">
        <w:rPr>
          <w:rFonts w:asciiTheme="minorHAnsi" w:hAnsiTheme="minorHAnsi"/>
          <w:b/>
          <w:bCs/>
          <w:sz w:val="20"/>
          <w:szCs w:val="20"/>
        </w:rPr>
        <w:t>)</w:t>
      </w:r>
      <w:r w:rsidRPr="00C45748">
        <w:rPr>
          <w:rFonts w:asciiTheme="minorHAnsi" w:hAnsiTheme="minorHAnsi"/>
          <w:b/>
          <w:bCs/>
          <w:sz w:val="20"/>
          <w:szCs w:val="20"/>
        </w:rPr>
        <w:t xml:space="preserve"> obligatorio</w:t>
      </w:r>
      <w:r w:rsidRPr="00C45748">
        <w:rPr>
          <w:rFonts w:asciiTheme="minorHAnsi" w:hAnsiTheme="minorHAnsi"/>
          <w:sz w:val="20"/>
          <w:szCs w:val="20"/>
        </w:rPr>
        <w:t>, aunque aún es posible que se apruebe una versión voluntaria. El único estado del Medio Oeste de EEUU sin un RPS o RES imperativo no parece que vaya a cambiar de postura. (GPR 10.03)</w:t>
      </w:r>
      <w:r w:rsidR="00666A28">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En Connecticut se ha presentado una propuesta legislativa para modernizar la industria energética del estado e impulsar las renovables, </w:t>
      </w:r>
      <w:r w:rsidRPr="00C45748">
        <w:rPr>
          <w:rFonts w:asciiTheme="minorHAnsi" w:hAnsiTheme="minorHAnsi"/>
          <w:sz w:val="20"/>
          <w:szCs w:val="20"/>
        </w:rPr>
        <w:t>la cual introducirá cambios fundamentales en la forma de adquisición de la energía, además</w:t>
      </w:r>
      <w:r w:rsidR="00666A28">
        <w:rPr>
          <w:rFonts w:asciiTheme="minorHAnsi" w:hAnsiTheme="minorHAnsi"/>
          <w:sz w:val="20"/>
          <w:szCs w:val="20"/>
        </w:rPr>
        <w:t>,</w:t>
      </w:r>
      <w:r w:rsidRPr="00C45748">
        <w:rPr>
          <w:rFonts w:asciiTheme="minorHAnsi" w:hAnsiTheme="minorHAnsi"/>
          <w:sz w:val="20"/>
          <w:szCs w:val="20"/>
        </w:rPr>
        <w:t xml:space="preserve"> del desarrollo de legislación para atraer a energías limpias. (GPR 17.03)</w:t>
      </w:r>
      <w:r w:rsidR="00666A28">
        <w:rPr>
          <w:rFonts w:asciiTheme="minorHAnsi" w:hAnsiTheme="minorHAnsi"/>
          <w:sz w:val="20"/>
          <w:szCs w:val="20"/>
        </w:rPr>
        <w:t>.</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Se presentan en Texas varias propuestas de ley que impulsan los objetivos estatales de renovables, </w:t>
      </w:r>
      <w:r w:rsidRPr="00C45748">
        <w:rPr>
          <w:rFonts w:asciiTheme="minorHAnsi" w:hAnsiTheme="minorHAnsi"/>
          <w:sz w:val="20"/>
          <w:szCs w:val="20"/>
        </w:rPr>
        <w:t>principalmente de apoyo a la energía solar, biomasa, geotérmica y pequeña eólica. Además</w:t>
      </w:r>
      <w:r w:rsidR="00666A28">
        <w:rPr>
          <w:rFonts w:asciiTheme="minorHAnsi" w:hAnsiTheme="minorHAnsi"/>
          <w:sz w:val="20"/>
          <w:szCs w:val="20"/>
        </w:rPr>
        <w:t>,</w:t>
      </w:r>
      <w:r w:rsidRPr="00C45748">
        <w:rPr>
          <w:rFonts w:asciiTheme="minorHAnsi" w:hAnsiTheme="minorHAnsi"/>
          <w:sz w:val="20"/>
          <w:szCs w:val="20"/>
        </w:rPr>
        <w:t xml:space="preserve"> se quiere elevar el RPS al 35%, siendo la solar un 2% de ese porcentaje. (GPR 17.03)</w:t>
      </w:r>
      <w:r w:rsidR="00666A28">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Comité de Recursos Naturales del Senado de Texas ha aprobado una propuesta para crear un consejo encargado de elaborar la planificación energética estatal a 20 años. </w:t>
      </w:r>
      <w:r w:rsidRPr="00C45748">
        <w:rPr>
          <w:rFonts w:asciiTheme="minorHAnsi" w:hAnsiTheme="minorHAnsi"/>
          <w:sz w:val="20"/>
          <w:szCs w:val="20"/>
        </w:rPr>
        <w:t xml:space="preserve">Ésta incluiría políticas en apoyo de un mix variado, limpio, estable y competitivo en precios, políticas que prevengan </w:t>
      </w:r>
      <w:r w:rsidRPr="00C45748">
        <w:rPr>
          <w:rFonts w:asciiTheme="minorHAnsi" w:hAnsiTheme="minorHAnsi"/>
          <w:sz w:val="20"/>
          <w:szCs w:val="20"/>
        </w:rPr>
        <w:lastRenderedPageBreak/>
        <w:t>interrupciones del suministro y fallos de infraestructura, y programas de eficiencia energética</w:t>
      </w:r>
      <w:r w:rsidR="00666A28">
        <w:rPr>
          <w:rFonts w:asciiTheme="minorHAnsi" w:hAnsiTheme="minorHAnsi"/>
          <w:sz w:val="20"/>
          <w:szCs w:val="20"/>
        </w:rPr>
        <w:t>.</w:t>
      </w:r>
      <w:r w:rsidRPr="00C45748">
        <w:rPr>
          <w:rFonts w:asciiTheme="minorHAnsi" w:hAnsiTheme="minorHAnsi"/>
          <w:sz w:val="20"/>
          <w:szCs w:val="20"/>
        </w:rPr>
        <w:t xml:space="preserve"> (GPR, 14.04).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Los proyectos eólicos de Oklahoma se enfrentan a la amenaza de una propuesta legislativa que pone en manos de las firmas petroleras y gasistas los derechos de veto. </w:t>
      </w:r>
      <w:r w:rsidRPr="00C45748">
        <w:rPr>
          <w:rFonts w:asciiTheme="minorHAnsi" w:hAnsiTheme="minorHAnsi"/>
          <w:sz w:val="20"/>
          <w:szCs w:val="20"/>
        </w:rPr>
        <w:t>La propuesta, ya aprobada en el parlamento estatal, establece que los derechos de exploración de petróleo y gas no podrán verse disminuidos, suprimidos o interferidos en ningún punto por un acuerdo eólico o solar, excepto con el consentimiento escrito previo del propietario de los derechos, que podrá otorgarlo mediando o no una razón</w:t>
      </w:r>
      <w:r w:rsidR="00666A28">
        <w:rPr>
          <w:rFonts w:asciiTheme="minorHAnsi" w:hAnsiTheme="minorHAnsi"/>
          <w:sz w:val="20"/>
          <w:szCs w:val="20"/>
        </w:rPr>
        <w:t>.</w:t>
      </w:r>
      <w:r w:rsidRPr="00C45748">
        <w:rPr>
          <w:rFonts w:asciiTheme="minorHAnsi" w:hAnsiTheme="minorHAnsi"/>
          <w:sz w:val="20"/>
          <w:szCs w:val="20"/>
        </w:rPr>
        <w:t xml:space="preserve"> (GPR 24.03).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En New México las propuestas para mermar los esfuerzos de reducción de los GEI e impulsar las renovables han sido rechazadas, </w:t>
      </w:r>
      <w:r w:rsidRPr="00C45748">
        <w:rPr>
          <w:rFonts w:asciiTheme="minorHAnsi" w:hAnsiTheme="minorHAnsi"/>
          <w:sz w:val="20"/>
          <w:szCs w:val="20"/>
        </w:rPr>
        <w:t xml:space="preserve">por lo que la legislación previamente aprobada para participar en un programa </w:t>
      </w:r>
      <w:r w:rsidRPr="00C45748">
        <w:rPr>
          <w:rFonts w:asciiTheme="minorHAnsi" w:hAnsiTheme="minorHAnsi"/>
          <w:i/>
          <w:iCs/>
          <w:sz w:val="20"/>
          <w:szCs w:val="20"/>
        </w:rPr>
        <w:t xml:space="preserve">cap and trade </w:t>
      </w:r>
      <w:r w:rsidRPr="00C45748">
        <w:rPr>
          <w:rFonts w:asciiTheme="minorHAnsi" w:hAnsiTheme="minorHAnsi"/>
          <w:sz w:val="20"/>
          <w:szCs w:val="20"/>
        </w:rPr>
        <w:t>regional o el programa de reducción de emisiones de GE</w:t>
      </w:r>
      <w:r w:rsidR="00666A28">
        <w:rPr>
          <w:rFonts w:asciiTheme="minorHAnsi" w:hAnsiTheme="minorHAnsi"/>
          <w:sz w:val="20"/>
          <w:szCs w:val="20"/>
        </w:rPr>
        <w:t>I siguen adelante. (GPR, 24.03).</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gobernador de Utah lanza un plan energético a 10 años, </w:t>
      </w:r>
      <w:r w:rsidRPr="00C45748">
        <w:rPr>
          <w:rFonts w:asciiTheme="minorHAnsi" w:hAnsiTheme="minorHAnsi"/>
          <w:sz w:val="20"/>
          <w:szCs w:val="20"/>
        </w:rPr>
        <w:t xml:space="preserve">que detalla cómo se cubrirán en un futuro las necesidades energéticas del estado, incluyendo generación y redes necesarias. El plan ha sido criticado por la falta de previsiones concretas sobre renovables. (GPR 24.03)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Idaho aprueba legislación que promueve el desarrollo geotérmico y que restringe el tamaño de los parques eólicos</w:t>
      </w:r>
      <w:r w:rsidRPr="00C45748">
        <w:rPr>
          <w:rFonts w:asciiTheme="minorHAnsi" w:hAnsiTheme="minorHAnsi"/>
          <w:sz w:val="20"/>
          <w:szCs w:val="20"/>
        </w:rPr>
        <w:t>. La normativa implementa cambios en el código estatal para facilitar el proceso de arrendamiento de tierras estatales para las empresas geotérmicas en detrimento de los grandes parques eólicos. Además</w:t>
      </w:r>
      <w:r w:rsidR="00666A28">
        <w:rPr>
          <w:rFonts w:asciiTheme="minorHAnsi" w:hAnsiTheme="minorHAnsi"/>
          <w:sz w:val="20"/>
          <w:szCs w:val="20"/>
        </w:rPr>
        <w:t>,</w:t>
      </w:r>
      <w:r w:rsidRPr="00C45748">
        <w:rPr>
          <w:rFonts w:asciiTheme="minorHAnsi" w:hAnsiTheme="minorHAnsi"/>
          <w:sz w:val="20"/>
          <w:szCs w:val="20"/>
        </w:rPr>
        <w:t xml:space="preserve"> se ha introducido una ley que requiere reducir el tamaño de los parques eólicos por su negativo impacto en la red. (GPR 24.03).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Illinois estudia la adopción de normativa que exigiría a </w:t>
      </w:r>
      <w:r w:rsidR="007634A1">
        <w:rPr>
          <w:rFonts w:asciiTheme="minorHAnsi" w:hAnsiTheme="minorHAnsi"/>
          <w:b/>
          <w:bCs/>
          <w:sz w:val="20"/>
          <w:szCs w:val="20"/>
        </w:rPr>
        <w:t>la IPA (Illinois Power Agency)</w:t>
      </w:r>
      <w:r w:rsidRPr="00C45748">
        <w:rPr>
          <w:rFonts w:asciiTheme="minorHAnsi" w:hAnsiTheme="minorHAnsi"/>
          <w:b/>
          <w:bCs/>
          <w:sz w:val="20"/>
          <w:szCs w:val="20"/>
        </w:rPr>
        <w:t xml:space="preserve"> firmar PPAs a largo plazo con los parques eólicos construidos en ese estado</w:t>
      </w:r>
      <w:r w:rsidRPr="00C45748">
        <w:rPr>
          <w:rFonts w:asciiTheme="minorHAnsi" w:hAnsiTheme="minorHAnsi"/>
          <w:sz w:val="20"/>
          <w:szCs w:val="20"/>
        </w:rPr>
        <w:t xml:space="preserve">, lo cual incentivaría su construcción y facilitaría su financiación. (GPR 31.03).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Ante la protesta de los generadores eólicos ante la FERC, MISO defiende sus reglas de asignación de costes de interconexión. </w:t>
      </w:r>
      <w:r w:rsidRPr="00C45748">
        <w:rPr>
          <w:rFonts w:asciiTheme="minorHAnsi" w:hAnsiTheme="minorHAnsi"/>
          <w:sz w:val="20"/>
          <w:szCs w:val="20"/>
        </w:rPr>
        <w:t>Los generadores no están de acuerdo en financiar la mejora de las redes a través de otro recargo, tal y como proponen MISO y los operadores de red, al entender que la contribución inicial de conexión a la red es suficiente para cubri</w:t>
      </w:r>
      <w:r w:rsidR="00666A28">
        <w:rPr>
          <w:rFonts w:asciiTheme="minorHAnsi" w:hAnsiTheme="minorHAnsi"/>
          <w:sz w:val="20"/>
          <w:szCs w:val="20"/>
        </w:rPr>
        <w:t>r los costes. (GPR, 14.04).</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w:t>
      </w:r>
      <w:r w:rsidRPr="00C45748">
        <w:rPr>
          <w:rFonts w:asciiTheme="minorHAnsi" w:hAnsiTheme="minorHAnsi"/>
          <w:b/>
          <w:bCs/>
          <w:i/>
          <w:iCs/>
          <w:sz w:val="20"/>
          <w:szCs w:val="20"/>
        </w:rPr>
        <w:t xml:space="preserve">think tank </w:t>
      </w:r>
      <w:r w:rsidRPr="00C45748">
        <w:rPr>
          <w:rFonts w:asciiTheme="minorHAnsi" w:hAnsiTheme="minorHAnsi"/>
          <w:b/>
          <w:bCs/>
          <w:sz w:val="20"/>
          <w:szCs w:val="20"/>
        </w:rPr>
        <w:t xml:space="preserve">American Tradition Institute presenta una demanda contra el RPS de Colorado, por considerar que viola la Cláusula de Comercio de la Constitución. </w:t>
      </w:r>
      <w:r w:rsidRPr="00C45748">
        <w:rPr>
          <w:rFonts w:asciiTheme="minorHAnsi" w:hAnsiTheme="minorHAnsi"/>
          <w:sz w:val="20"/>
          <w:szCs w:val="20"/>
        </w:rPr>
        <w:t>El grupo, contrario a las renovables y que alega que el RPS es discriminatorio para el comercio interestatal, espera que la Corte anule la medida y le conceda una indemnización. (RER, 18.04)</w:t>
      </w:r>
      <w:r w:rsidR="00666A28">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9"/>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estado de Nevada aprueba una ley para aplicar </w:t>
      </w:r>
      <w:r w:rsidRPr="00C45748">
        <w:rPr>
          <w:rFonts w:asciiTheme="minorHAnsi" w:hAnsiTheme="minorHAnsi"/>
          <w:b/>
          <w:bCs/>
          <w:i/>
          <w:iCs/>
          <w:sz w:val="20"/>
          <w:szCs w:val="20"/>
        </w:rPr>
        <w:t>feed in tariffs</w:t>
      </w:r>
      <w:r w:rsidRPr="00C45748">
        <w:rPr>
          <w:rFonts w:asciiTheme="minorHAnsi" w:hAnsiTheme="minorHAnsi"/>
          <w:b/>
          <w:bCs/>
          <w:sz w:val="20"/>
          <w:szCs w:val="20"/>
        </w:rPr>
        <w:t xml:space="preserve">, manteniendo su RPS del 25% </w:t>
      </w:r>
      <w:r w:rsidRPr="00C45748">
        <w:rPr>
          <w:rFonts w:asciiTheme="minorHAnsi" w:hAnsiTheme="minorHAnsi"/>
          <w:sz w:val="20"/>
          <w:szCs w:val="20"/>
        </w:rPr>
        <w:t>de renovables para 2025</w:t>
      </w:r>
      <w:r w:rsidR="00666A28" w:rsidRPr="007634A1">
        <w:rPr>
          <w:rFonts w:asciiTheme="minorHAnsi" w:hAnsiTheme="minorHAnsi"/>
          <w:sz w:val="20"/>
          <w:szCs w:val="20"/>
        </w:rPr>
        <w:t>.</w:t>
      </w:r>
      <w:r w:rsidRPr="007634A1">
        <w:rPr>
          <w:rFonts w:asciiTheme="minorHAnsi" w:hAnsiTheme="minorHAnsi"/>
          <w:sz w:val="20"/>
          <w:szCs w:val="20"/>
        </w:rPr>
        <w:t xml:space="preserve"> </w:t>
      </w:r>
      <w:r w:rsidRPr="007634A1">
        <w:rPr>
          <w:rFonts w:asciiTheme="minorHAnsi" w:hAnsiTheme="minorHAnsi"/>
          <w:bCs/>
          <w:sz w:val="20"/>
          <w:szCs w:val="20"/>
        </w:rPr>
        <w:t>(GPR 28.04)</w:t>
      </w:r>
      <w:r w:rsidR="00666A28" w:rsidRPr="007634A1">
        <w:rPr>
          <w:rFonts w:asciiTheme="minorHAnsi" w:hAnsiTheme="minorHAnsi"/>
          <w:bCs/>
          <w:sz w:val="20"/>
          <w:szCs w:val="20"/>
        </w:rPr>
        <w:t>.</w:t>
      </w:r>
      <w:r w:rsidRPr="00C45748">
        <w:rPr>
          <w:rFonts w:asciiTheme="minorHAnsi" w:hAnsiTheme="minorHAnsi"/>
          <w:b/>
          <w:bCs/>
          <w:sz w:val="20"/>
          <w:szCs w:val="20"/>
        </w:rPr>
        <w:t xml:space="preserve"> </w:t>
      </w:r>
    </w:p>
    <w:p w:rsidR="00C45748" w:rsidRPr="00C45748" w:rsidRDefault="00C45748" w:rsidP="00CD283F">
      <w:pPr>
        <w:pStyle w:val="Ttulo3"/>
      </w:pPr>
      <w:r w:rsidRPr="00C45748">
        <w:t xml:space="preserve">Norteamérica – Regulación y legislación </w:t>
      </w:r>
    </w:p>
    <w:p w:rsidR="00C45748" w:rsidRPr="00C45748" w:rsidRDefault="00CD283F" w:rsidP="00A968D0">
      <w:pPr>
        <w:pStyle w:val="Default"/>
        <w:numPr>
          <w:ilvl w:val="1"/>
          <w:numId w:val="10"/>
        </w:numPr>
        <w:spacing w:before="100" w:beforeAutospacing="1" w:after="120" w:line="276" w:lineRule="auto"/>
        <w:ind w:left="284" w:hanging="284"/>
        <w:jc w:val="both"/>
        <w:rPr>
          <w:rFonts w:asciiTheme="minorHAnsi" w:hAnsiTheme="minorHAnsi"/>
          <w:sz w:val="20"/>
          <w:szCs w:val="20"/>
        </w:rPr>
      </w:pPr>
      <w:r>
        <w:rPr>
          <w:rFonts w:asciiTheme="minorHAnsi" w:hAnsiTheme="minorHAnsi"/>
          <w:b/>
          <w:bCs/>
          <w:sz w:val="20"/>
          <w:szCs w:val="20"/>
        </w:rPr>
        <w:t>El</w:t>
      </w:r>
      <w:r w:rsidR="00C45748" w:rsidRPr="00C45748">
        <w:rPr>
          <w:rFonts w:asciiTheme="minorHAnsi" w:hAnsiTheme="minorHAnsi"/>
          <w:b/>
          <w:bCs/>
          <w:sz w:val="20"/>
          <w:szCs w:val="20"/>
        </w:rPr>
        <w:t xml:space="preserve"> 14 de abril se aprobó la Continuing Resolution que financia al gobierno EE</w:t>
      </w:r>
      <w:r w:rsidR="00666A28">
        <w:rPr>
          <w:rFonts w:asciiTheme="minorHAnsi" w:hAnsiTheme="minorHAnsi"/>
          <w:b/>
          <w:bCs/>
          <w:sz w:val="20"/>
          <w:szCs w:val="20"/>
        </w:rPr>
        <w:t>.</w:t>
      </w:r>
      <w:r w:rsidR="00C45748" w:rsidRPr="00C45748">
        <w:rPr>
          <w:rFonts w:asciiTheme="minorHAnsi" w:hAnsiTheme="minorHAnsi"/>
          <w:b/>
          <w:bCs/>
          <w:sz w:val="20"/>
          <w:szCs w:val="20"/>
        </w:rPr>
        <w:t>UU</w:t>
      </w:r>
      <w:r w:rsidR="00666A28">
        <w:rPr>
          <w:rFonts w:asciiTheme="minorHAnsi" w:hAnsiTheme="minorHAnsi"/>
          <w:b/>
          <w:bCs/>
          <w:sz w:val="20"/>
          <w:szCs w:val="20"/>
        </w:rPr>
        <w:t>.</w:t>
      </w:r>
      <w:r w:rsidR="00C45748" w:rsidRPr="00C45748">
        <w:rPr>
          <w:rFonts w:asciiTheme="minorHAnsi" w:hAnsiTheme="minorHAnsi"/>
          <w:b/>
          <w:bCs/>
          <w:sz w:val="20"/>
          <w:szCs w:val="20"/>
        </w:rPr>
        <w:t xml:space="preserve"> hasta el fin de su año fisca</w:t>
      </w:r>
      <w:r w:rsidR="007634A1">
        <w:rPr>
          <w:rFonts w:asciiTheme="minorHAnsi" w:hAnsiTheme="minorHAnsi"/>
          <w:b/>
          <w:bCs/>
          <w:sz w:val="20"/>
          <w:szCs w:val="20"/>
        </w:rPr>
        <w:t>l</w:t>
      </w:r>
      <w:r w:rsidR="00C45748" w:rsidRPr="00C45748">
        <w:rPr>
          <w:rFonts w:asciiTheme="minorHAnsi" w:hAnsiTheme="minorHAnsi"/>
          <w:b/>
          <w:bCs/>
          <w:sz w:val="20"/>
          <w:szCs w:val="20"/>
        </w:rPr>
        <w:t xml:space="preserve"> (sept. 2011): </w:t>
      </w:r>
      <w:r w:rsidR="00C45748" w:rsidRPr="00C45748">
        <w:rPr>
          <w:rFonts w:asciiTheme="minorHAnsi" w:hAnsiTheme="minorHAnsi"/>
          <w:sz w:val="20"/>
          <w:szCs w:val="20"/>
        </w:rPr>
        <w:t>Los republicanos habían amenazado con no firmarlo, pero finalmente se ha aprobado sin reducciones sustanciales en los gastos del gobierno. Los programas energéticos no se han visto afectad</w:t>
      </w:r>
      <w:r w:rsidR="00666A28">
        <w:rPr>
          <w:rFonts w:asciiTheme="minorHAnsi" w:hAnsiTheme="minorHAnsi"/>
          <w:sz w:val="20"/>
          <w:szCs w:val="20"/>
        </w:rPr>
        <w:t>os seriamente. (Varias fuentes).</w:t>
      </w:r>
    </w:p>
    <w:p w:rsidR="00C45748" w:rsidRPr="00C45748" w:rsidRDefault="00C45748" w:rsidP="00A968D0">
      <w:pPr>
        <w:pStyle w:val="Default"/>
        <w:numPr>
          <w:ilvl w:val="1"/>
          <w:numId w:val="10"/>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lastRenderedPageBreak/>
        <w:t xml:space="preserve">El congreso estadounidense no decidirá sobre la ampliación de los </w:t>
      </w:r>
      <w:r w:rsidR="00EF29AE">
        <w:rPr>
          <w:rFonts w:asciiTheme="minorHAnsi" w:hAnsiTheme="minorHAnsi"/>
          <w:b/>
          <w:bCs/>
          <w:sz w:val="20"/>
          <w:szCs w:val="20"/>
        </w:rPr>
        <w:t xml:space="preserve">Production Tax </w:t>
      </w:r>
      <w:r w:rsidR="00EF29AE" w:rsidRPr="00EF29AE">
        <w:rPr>
          <w:rFonts w:asciiTheme="minorHAnsi" w:hAnsiTheme="minorHAnsi"/>
          <w:b/>
          <w:bCs/>
          <w:sz w:val="20"/>
          <w:szCs w:val="20"/>
        </w:rPr>
        <w:t>Credits (</w:t>
      </w:r>
      <w:r w:rsidRPr="00EF29AE">
        <w:rPr>
          <w:rFonts w:asciiTheme="minorHAnsi" w:hAnsiTheme="minorHAnsi"/>
          <w:b/>
          <w:bCs/>
          <w:sz w:val="20"/>
          <w:szCs w:val="20"/>
        </w:rPr>
        <w:t>PTC</w:t>
      </w:r>
      <w:r w:rsidR="00EF29AE" w:rsidRPr="00EF29AE">
        <w:rPr>
          <w:rFonts w:asciiTheme="minorHAnsi" w:hAnsiTheme="minorHAnsi"/>
          <w:b/>
          <w:bCs/>
          <w:sz w:val="20"/>
          <w:szCs w:val="20"/>
        </w:rPr>
        <w:t>)</w:t>
      </w:r>
      <w:r w:rsidRPr="00C45748">
        <w:rPr>
          <w:rFonts w:asciiTheme="minorHAnsi" w:hAnsiTheme="minorHAnsi"/>
          <w:b/>
          <w:bCs/>
          <w:sz w:val="20"/>
          <w:szCs w:val="20"/>
        </w:rPr>
        <w:t xml:space="preserve"> hasta que no se resuelva el Presupuesto federal: </w:t>
      </w:r>
      <w:r w:rsidRPr="00C45748">
        <w:rPr>
          <w:rFonts w:asciiTheme="minorHAnsi" w:hAnsiTheme="minorHAnsi"/>
          <w:sz w:val="20"/>
          <w:szCs w:val="20"/>
        </w:rPr>
        <w:t>los PTC expiran en diciembre de 2012, y los republicanos se oponen a su extensión, por lo que el futuro de las inversiones es incierto</w:t>
      </w:r>
      <w:r w:rsidR="00666A28">
        <w:rPr>
          <w:rFonts w:asciiTheme="minorHAnsi" w:hAnsiTheme="minorHAnsi"/>
          <w:sz w:val="20"/>
          <w:szCs w:val="20"/>
        </w:rPr>
        <w:t>. (V</w:t>
      </w:r>
      <w:r w:rsidRPr="00C45748">
        <w:rPr>
          <w:rFonts w:asciiTheme="minorHAnsi" w:hAnsiTheme="minorHAnsi"/>
          <w:sz w:val="20"/>
          <w:szCs w:val="20"/>
        </w:rPr>
        <w:t>arias fuentes)</w:t>
      </w:r>
      <w:r w:rsidR="00666A28">
        <w:rPr>
          <w:rFonts w:asciiTheme="minorHAnsi" w:hAnsiTheme="minorHAnsi"/>
          <w:sz w:val="20"/>
          <w:szCs w:val="20"/>
        </w:rPr>
        <w:t>.</w:t>
      </w:r>
    </w:p>
    <w:p w:rsidR="00C45748" w:rsidRPr="00C45748" w:rsidRDefault="00C45748" w:rsidP="00CD283F">
      <w:pPr>
        <w:pStyle w:val="Ttulo3"/>
      </w:pPr>
      <w:r w:rsidRPr="00C45748">
        <w:t xml:space="preserve">Norteamérica – Redes y Garantía de suministro </w:t>
      </w:r>
    </w:p>
    <w:p w:rsidR="00C45748" w:rsidRPr="00C45748" w:rsidRDefault="00C45748" w:rsidP="00A968D0">
      <w:pPr>
        <w:pStyle w:val="Default"/>
        <w:numPr>
          <w:ilvl w:val="1"/>
          <w:numId w:val="11"/>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FERC aprueba el plan de mejora de gestión de la energía eólica de MISO</w:t>
      </w:r>
      <w:r w:rsidRPr="00C45748">
        <w:rPr>
          <w:rFonts w:asciiTheme="minorHAnsi" w:hAnsiTheme="minorHAnsi"/>
          <w:sz w:val="20"/>
          <w:szCs w:val="20"/>
        </w:rPr>
        <w:t xml:space="preserve">. Se tratará del mismo modo que la generación convencional a los operadores registrados como </w:t>
      </w:r>
      <w:r w:rsidRPr="00C45748">
        <w:rPr>
          <w:rFonts w:asciiTheme="minorHAnsi" w:hAnsiTheme="minorHAnsi"/>
          <w:i/>
          <w:iCs/>
          <w:sz w:val="20"/>
          <w:szCs w:val="20"/>
        </w:rPr>
        <w:t>recursos intermitentes gestionables</w:t>
      </w:r>
      <w:r w:rsidRPr="00C45748">
        <w:rPr>
          <w:rFonts w:asciiTheme="minorHAnsi" w:hAnsiTheme="minorHAnsi"/>
          <w:sz w:val="20"/>
          <w:szCs w:val="20"/>
        </w:rPr>
        <w:t>, por lo que deberán ser capaces de ejecutar las órdenes de gestión, y podrán ser sancionados en el caso de desviarse más de lo aceptable. (GPR 03.03)</w:t>
      </w:r>
      <w:r w:rsidR="00666A28">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1"/>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Los promotores de la línea de transporte entre la ciudad de New York y PJM solicitan la autorización de la FERC para vender los derechos de transporte a tarifa regulada. </w:t>
      </w:r>
      <w:r w:rsidRPr="00C45748">
        <w:rPr>
          <w:rFonts w:asciiTheme="minorHAnsi" w:hAnsiTheme="minorHAnsi"/>
          <w:sz w:val="20"/>
          <w:szCs w:val="20"/>
        </w:rPr>
        <w:t>Con el 75% de la capacidad de la línea ya asignada, los promotores quieren que la FERC les pe</w:t>
      </w:r>
      <w:r w:rsidR="00691446">
        <w:rPr>
          <w:rFonts w:asciiTheme="minorHAnsi" w:hAnsiTheme="minorHAnsi"/>
          <w:sz w:val="20"/>
          <w:szCs w:val="20"/>
        </w:rPr>
        <w:t>rmita asignar el 25% restante ví</w:t>
      </w:r>
      <w:r w:rsidRPr="00C45748">
        <w:rPr>
          <w:rFonts w:asciiTheme="minorHAnsi" w:hAnsiTheme="minorHAnsi"/>
          <w:sz w:val="20"/>
          <w:szCs w:val="20"/>
        </w:rPr>
        <w:t xml:space="preserve">a </w:t>
      </w:r>
      <w:r w:rsidRPr="00C45748">
        <w:rPr>
          <w:rFonts w:asciiTheme="minorHAnsi" w:hAnsiTheme="minorHAnsi"/>
          <w:i/>
          <w:iCs/>
          <w:sz w:val="20"/>
          <w:szCs w:val="20"/>
        </w:rPr>
        <w:t xml:space="preserve">open seasons </w:t>
      </w:r>
      <w:r w:rsidRPr="00C45748">
        <w:rPr>
          <w:rFonts w:asciiTheme="minorHAnsi" w:hAnsiTheme="minorHAnsi"/>
          <w:sz w:val="20"/>
          <w:szCs w:val="20"/>
        </w:rPr>
        <w:t xml:space="preserve">(subastas) o con </w:t>
      </w:r>
      <w:r w:rsidRPr="00C45748">
        <w:rPr>
          <w:rFonts w:asciiTheme="minorHAnsi" w:hAnsiTheme="minorHAnsi"/>
          <w:i/>
          <w:iCs/>
          <w:sz w:val="20"/>
          <w:szCs w:val="20"/>
        </w:rPr>
        <w:t xml:space="preserve">anchor customers </w:t>
      </w:r>
      <w:r w:rsidRPr="00C45748">
        <w:rPr>
          <w:rFonts w:asciiTheme="minorHAnsi" w:hAnsiTheme="minorHAnsi"/>
          <w:sz w:val="20"/>
          <w:szCs w:val="20"/>
        </w:rPr>
        <w:t>(clientes de referencia). (GPR, 10.03)</w:t>
      </w:r>
      <w:r w:rsidR="00691446">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1"/>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A pesar de las amenazas de recortes en los presupuestos generales, WAPA (Western Area Power Administration) continúa con su programa de infraestructuras de transporte que creó en 2009, </w:t>
      </w:r>
      <w:r w:rsidRPr="00C45748">
        <w:rPr>
          <w:rFonts w:asciiTheme="minorHAnsi" w:hAnsiTheme="minorHAnsi"/>
          <w:sz w:val="20"/>
          <w:szCs w:val="20"/>
        </w:rPr>
        <w:t>tras concedérsele autoriz</w:t>
      </w:r>
      <w:r w:rsidR="007634A1">
        <w:rPr>
          <w:rFonts w:asciiTheme="minorHAnsi" w:hAnsiTheme="minorHAnsi"/>
          <w:sz w:val="20"/>
          <w:szCs w:val="20"/>
        </w:rPr>
        <w:t xml:space="preserve">ación para préstamos de 3.250 M </w:t>
      </w:r>
      <w:r w:rsidRPr="00C45748">
        <w:rPr>
          <w:rFonts w:asciiTheme="minorHAnsi" w:hAnsiTheme="minorHAnsi"/>
          <w:sz w:val="20"/>
          <w:szCs w:val="20"/>
        </w:rPr>
        <w:t xml:space="preserve">USD de la </w:t>
      </w:r>
      <w:r w:rsidRPr="00C45748">
        <w:rPr>
          <w:rFonts w:asciiTheme="minorHAnsi" w:hAnsiTheme="minorHAnsi"/>
          <w:i/>
          <w:iCs/>
          <w:sz w:val="20"/>
          <w:szCs w:val="20"/>
        </w:rPr>
        <w:t xml:space="preserve">American Recovery and Reinvestement Act. </w:t>
      </w:r>
      <w:r w:rsidRPr="00C45748">
        <w:rPr>
          <w:rFonts w:asciiTheme="minorHAnsi" w:hAnsiTheme="minorHAnsi"/>
          <w:sz w:val="20"/>
          <w:szCs w:val="20"/>
        </w:rPr>
        <w:t>La WAPA está analizando actualmente 12 proyectos de redes en Arizona, California y Nevada. (GPR, 10.03)</w:t>
      </w:r>
      <w:r w:rsidR="00691446">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1"/>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PUC de Nevada aprueba el proyecto de una línea de transporte, para suministrar unos 1.400</w:t>
      </w:r>
      <w:r w:rsidR="00691446">
        <w:rPr>
          <w:rFonts w:asciiTheme="minorHAnsi" w:hAnsiTheme="minorHAnsi"/>
          <w:b/>
          <w:bCs/>
          <w:sz w:val="20"/>
          <w:szCs w:val="20"/>
        </w:rPr>
        <w:t xml:space="preserve"> </w:t>
      </w:r>
      <w:r w:rsidRPr="00C45748">
        <w:rPr>
          <w:rFonts w:asciiTheme="minorHAnsi" w:hAnsiTheme="minorHAnsi"/>
          <w:b/>
          <w:bCs/>
          <w:sz w:val="20"/>
          <w:szCs w:val="20"/>
        </w:rPr>
        <w:t xml:space="preserve">MW, de sus parques renovables al mercado californiano. </w:t>
      </w:r>
      <w:r w:rsidRPr="00C45748">
        <w:rPr>
          <w:rFonts w:asciiTheme="minorHAnsi" w:hAnsiTheme="minorHAnsi"/>
          <w:sz w:val="20"/>
          <w:szCs w:val="20"/>
        </w:rPr>
        <w:t>A falta de ciertos permisos para empezar la construcción, se espera que esté operativa a mediados de 2013</w:t>
      </w:r>
      <w:r w:rsidR="00691446">
        <w:rPr>
          <w:rFonts w:asciiTheme="minorHAnsi" w:hAnsiTheme="minorHAnsi"/>
          <w:sz w:val="20"/>
          <w:szCs w:val="20"/>
        </w:rPr>
        <w:t>.</w:t>
      </w:r>
      <w:r w:rsidRPr="00C45748">
        <w:rPr>
          <w:rFonts w:asciiTheme="minorHAnsi" w:hAnsiTheme="minorHAnsi"/>
          <w:sz w:val="20"/>
          <w:szCs w:val="20"/>
        </w:rPr>
        <w:t xml:space="preserve"> (GPR 17.11)</w:t>
      </w:r>
      <w:r w:rsidR="00691446">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1"/>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NYISO aprueba la integración en el sistema del proyecto de transporte de 1</w:t>
      </w:r>
      <w:r w:rsidR="00691446">
        <w:rPr>
          <w:rFonts w:asciiTheme="minorHAnsi" w:hAnsiTheme="minorHAnsi"/>
          <w:b/>
          <w:bCs/>
          <w:sz w:val="20"/>
          <w:szCs w:val="20"/>
        </w:rPr>
        <w:t>.</w:t>
      </w:r>
      <w:r w:rsidRPr="00C45748">
        <w:rPr>
          <w:rFonts w:asciiTheme="minorHAnsi" w:hAnsiTheme="minorHAnsi"/>
          <w:b/>
          <w:bCs/>
          <w:sz w:val="20"/>
          <w:szCs w:val="20"/>
        </w:rPr>
        <w:t>000</w:t>
      </w:r>
      <w:r w:rsidR="00691446">
        <w:rPr>
          <w:rFonts w:asciiTheme="minorHAnsi" w:hAnsiTheme="minorHAnsi"/>
          <w:b/>
          <w:bCs/>
          <w:sz w:val="20"/>
          <w:szCs w:val="20"/>
        </w:rPr>
        <w:t xml:space="preserve"> </w:t>
      </w:r>
      <w:r w:rsidRPr="00C45748">
        <w:rPr>
          <w:rFonts w:asciiTheme="minorHAnsi" w:hAnsiTheme="minorHAnsi"/>
          <w:b/>
          <w:bCs/>
          <w:sz w:val="20"/>
          <w:szCs w:val="20"/>
        </w:rPr>
        <w:t xml:space="preserve">MW entre Canadá y Nueva York. </w:t>
      </w:r>
      <w:r w:rsidRPr="00C45748">
        <w:rPr>
          <w:rFonts w:asciiTheme="minorHAnsi" w:hAnsiTheme="minorHAnsi"/>
          <w:sz w:val="20"/>
          <w:szCs w:val="20"/>
        </w:rPr>
        <w:t>Aunque con ciertos retrasos, el proyecto de 350 millas de conexión sigue adelante, y parece que podría estar operativo a finales de 2015. (GPR, 24.03)</w:t>
      </w:r>
      <w:r w:rsidR="00691446">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1"/>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Un comité legislativo de New Hampshire aprueba una propuesta para bloquear la línea de transporte de 1.200</w:t>
      </w:r>
      <w:r w:rsidR="00691446">
        <w:rPr>
          <w:rFonts w:asciiTheme="minorHAnsi" w:hAnsiTheme="minorHAnsi"/>
          <w:b/>
          <w:bCs/>
          <w:sz w:val="20"/>
          <w:szCs w:val="20"/>
        </w:rPr>
        <w:t xml:space="preserve"> </w:t>
      </w:r>
      <w:r w:rsidRPr="00C45748">
        <w:rPr>
          <w:rFonts w:asciiTheme="minorHAnsi" w:hAnsiTheme="minorHAnsi"/>
          <w:b/>
          <w:bCs/>
          <w:sz w:val="20"/>
          <w:szCs w:val="20"/>
        </w:rPr>
        <w:t xml:space="preserve">MW de Hydro-Quebec a New England, </w:t>
      </w:r>
      <w:r w:rsidRPr="00C45748">
        <w:rPr>
          <w:rFonts w:asciiTheme="minorHAnsi" w:hAnsiTheme="minorHAnsi"/>
          <w:sz w:val="20"/>
          <w:szCs w:val="20"/>
        </w:rPr>
        <w:t>al considerar que una línea de estas características no les beneficia. El parlamento al completo votará sobre el texto y solo saldrá adelante si esta línea se considera necesaria para la fiabilidad del sistema</w:t>
      </w:r>
      <w:r w:rsidR="00691446">
        <w:rPr>
          <w:rFonts w:asciiTheme="minorHAnsi" w:hAnsiTheme="minorHAnsi"/>
          <w:sz w:val="20"/>
          <w:szCs w:val="20"/>
        </w:rPr>
        <w:t>.</w:t>
      </w:r>
      <w:r w:rsidRPr="00C45748">
        <w:rPr>
          <w:rFonts w:asciiTheme="minorHAnsi" w:hAnsiTheme="minorHAnsi"/>
          <w:sz w:val="20"/>
          <w:szCs w:val="20"/>
        </w:rPr>
        <w:t xml:space="preserve"> (GPR 31.03). </w:t>
      </w:r>
    </w:p>
    <w:p w:rsidR="00C45748" w:rsidRPr="00C45748" w:rsidRDefault="00C45748" w:rsidP="00A968D0">
      <w:pPr>
        <w:pStyle w:val="Default"/>
        <w:numPr>
          <w:ilvl w:val="1"/>
          <w:numId w:val="11"/>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FERC aprueba los cambios tarifarios en NYISO para facilitar la conexión a la red de nuevas centrales</w:t>
      </w:r>
      <w:r w:rsidRPr="00C45748">
        <w:rPr>
          <w:rFonts w:asciiTheme="minorHAnsi" w:hAnsiTheme="minorHAnsi"/>
          <w:sz w:val="20"/>
          <w:szCs w:val="20"/>
        </w:rPr>
        <w:t xml:space="preserve">. Las nuevas tarifas añaden la definición de </w:t>
      </w:r>
      <w:r w:rsidRPr="00C45748">
        <w:rPr>
          <w:rFonts w:asciiTheme="minorHAnsi" w:hAnsiTheme="minorHAnsi"/>
          <w:i/>
          <w:iCs/>
          <w:sz w:val="20"/>
          <w:szCs w:val="20"/>
        </w:rPr>
        <w:t>local system upgrade facilities</w:t>
      </w:r>
      <w:r w:rsidRPr="00C45748">
        <w:rPr>
          <w:rFonts w:asciiTheme="minorHAnsi" w:hAnsiTheme="minorHAnsi"/>
          <w:sz w:val="20"/>
          <w:szCs w:val="20"/>
        </w:rPr>
        <w:t xml:space="preserve">, que son las necesarias para conectar una nueva central a la red. Las nuevas tarifas. conllevarán un ahorro de costes para los proyectos que propongan interconexiones que no requieran un estudio extensivo de las </w:t>
      </w:r>
      <w:r w:rsidRPr="00C45748">
        <w:rPr>
          <w:rFonts w:asciiTheme="minorHAnsi" w:hAnsiTheme="minorHAnsi"/>
          <w:i/>
          <w:iCs/>
          <w:sz w:val="20"/>
          <w:szCs w:val="20"/>
        </w:rPr>
        <w:t>local system upgrade facilities</w:t>
      </w:r>
      <w:r w:rsidR="00691446">
        <w:rPr>
          <w:rFonts w:asciiTheme="minorHAnsi" w:hAnsiTheme="minorHAnsi"/>
          <w:i/>
          <w:iCs/>
          <w:sz w:val="20"/>
          <w:szCs w:val="20"/>
        </w:rPr>
        <w:t>.</w:t>
      </w:r>
      <w:r w:rsidRPr="00C45748">
        <w:rPr>
          <w:rFonts w:asciiTheme="minorHAnsi" w:hAnsiTheme="minorHAnsi"/>
          <w:i/>
          <w:iCs/>
          <w:sz w:val="20"/>
          <w:szCs w:val="20"/>
        </w:rPr>
        <w:t xml:space="preserve"> </w:t>
      </w:r>
      <w:r w:rsidRPr="00C45748">
        <w:rPr>
          <w:rFonts w:asciiTheme="minorHAnsi" w:hAnsiTheme="minorHAnsi"/>
          <w:sz w:val="20"/>
          <w:szCs w:val="20"/>
        </w:rPr>
        <w:t xml:space="preserve">(GPR 14.04). </w:t>
      </w:r>
    </w:p>
    <w:p w:rsidR="00C45748" w:rsidRPr="00C45748" w:rsidRDefault="00C45748" w:rsidP="00475D38">
      <w:pPr>
        <w:pStyle w:val="Ttulo3"/>
      </w:pPr>
      <w:r w:rsidRPr="00C45748">
        <w:t xml:space="preserve">Norteamérica – Mercados </w:t>
      </w:r>
    </w:p>
    <w:p w:rsidR="00C45748" w:rsidRPr="00C45748" w:rsidRDefault="00C45748" w:rsidP="00A968D0">
      <w:pPr>
        <w:pStyle w:val="Default"/>
        <w:numPr>
          <w:ilvl w:val="1"/>
          <w:numId w:val="1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Participantes del mercado de capacidad de PJM piden a la FERC que intervenga ante la propuesta de cambio de la norma de ‘precio de oferta mínimo’ </w:t>
      </w:r>
      <w:r w:rsidRPr="00C45748">
        <w:rPr>
          <w:rFonts w:asciiTheme="minorHAnsi" w:hAnsiTheme="minorHAnsi"/>
          <w:b/>
          <w:bCs/>
          <w:i/>
          <w:iCs/>
          <w:sz w:val="20"/>
          <w:szCs w:val="20"/>
        </w:rPr>
        <w:t>(mínimum offer price rule)</w:t>
      </w:r>
      <w:r w:rsidRPr="00C45748">
        <w:rPr>
          <w:rFonts w:asciiTheme="minorHAnsi" w:hAnsiTheme="minorHAnsi"/>
          <w:b/>
          <w:bCs/>
          <w:sz w:val="20"/>
          <w:szCs w:val="20"/>
        </w:rPr>
        <w:t xml:space="preserve">. </w:t>
      </w:r>
      <w:r w:rsidRPr="00C45748">
        <w:rPr>
          <w:rFonts w:asciiTheme="minorHAnsi" w:hAnsiTheme="minorHAnsi"/>
          <w:sz w:val="20"/>
          <w:szCs w:val="20"/>
        </w:rPr>
        <w:t xml:space="preserve">El conflicto surgió por la búsqueda de capacidad fuera del mercado PJM mediante contratos a largo plazo, lo cual </w:t>
      </w:r>
      <w:r w:rsidRPr="00C45748">
        <w:rPr>
          <w:rFonts w:asciiTheme="minorHAnsi" w:hAnsiTheme="minorHAnsi"/>
          <w:sz w:val="20"/>
          <w:szCs w:val="20"/>
        </w:rPr>
        <w:lastRenderedPageBreak/>
        <w:t xml:space="preserve">podría provocar un desplome de los precios de capacidad dentro de PJM. PJM propone a la FERC que los participantes requieran de su autorización para poder hacer ofertas por debajo de un umbral razonable, llamado </w:t>
      </w:r>
      <w:r w:rsidRPr="00C45748">
        <w:rPr>
          <w:rFonts w:asciiTheme="minorHAnsi" w:hAnsiTheme="minorHAnsi"/>
          <w:i/>
          <w:iCs/>
          <w:sz w:val="20"/>
          <w:szCs w:val="20"/>
        </w:rPr>
        <w:t>coste de nueva entrada</w:t>
      </w:r>
      <w:r w:rsidRPr="00C45748">
        <w:rPr>
          <w:rFonts w:asciiTheme="minorHAnsi" w:hAnsiTheme="minorHAnsi"/>
          <w:sz w:val="20"/>
          <w:szCs w:val="20"/>
        </w:rPr>
        <w:t>. (GPR 10.03)</w:t>
      </w:r>
      <w:r w:rsidR="00691446">
        <w:rPr>
          <w:rFonts w:asciiTheme="minorHAnsi" w:hAnsiTheme="minorHAnsi"/>
          <w:sz w:val="20"/>
          <w:szCs w:val="20"/>
        </w:rPr>
        <w:t>.</w:t>
      </w:r>
      <w:r w:rsidRPr="00C45748">
        <w:rPr>
          <w:rFonts w:asciiTheme="minorHAnsi" w:hAnsiTheme="minorHAnsi"/>
          <w:sz w:val="20"/>
          <w:szCs w:val="20"/>
        </w:rPr>
        <w:t xml:space="preserve"> </w:t>
      </w:r>
    </w:p>
    <w:p w:rsidR="00C45748" w:rsidRDefault="00C45748" w:rsidP="00A968D0">
      <w:pPr>
        <w:pStyle w:val="Default"/>
        <w:numPr>
          <w:ilvl w:val="1"/>
          <w:numId w:val="12"/>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FERC aprueba una norma para compensar por las medidas de respuesta a la demanda (</w:t>
      </w:r>
      <w:r w:rsidRPr="00C45748">
        <w:rPr>
          <w:rFonts w:asciiTheme="minorHAnsi" w:hAnsiTheme="minorHAnsi"/>
          <w:b/>
          <w:bCs/>
          <w:i/>
          <w:iCs/>
          <w:sz w:val="20"/>
          <w:szCs w:val="20"/>
        </w:rPr>
        <w:t>market-based demand response compensation</w:t>
      </w:r>
      <w:r w:rsidRPr="00C45748">
        <w:rPr>
          <w:rFonts w:asciiTheme="minorHAnsi" w:hAnsiTheme="minorHAnsi"/>
          <w:b/>
          <w:bCs/>
          <w:sz w:val="20"/>
          <w:szCs w:val="20"/>
        </w:rPr>
        <w:t xml:space="preserve">), </w:t>
      </w:r>
      <w:r w:rsidRPr="00C45748">
        <w:rPr>
          <w:rFonts w:asciiTheme="minorHAnsi" w:hAnsiTheme="minorHAnsi"/>
          <w:sz w:val="20"/>
          <w:szCs w:val="20"/>
        </w:rPr>
        <w:t>la cual beneficiará a los clientes y mejorará la ope</w:t>
      </w:r>
      <w:r w:rsidR="007634A1">
        <w:rPr>
          <w:rFonts w:asciiTheme="minorHAnsi" w:hAnsiTheme="minorHAnsi"/>
          <w:sz w:val="20"/>
          <w:szCs w:val="20"/>
        </w:rPr>
        <w:t>ración y competitividad en los m</w:t>
      </w:r>
      <w:r w:rsidRPr="00C45748">
        <w:rPr>
          <w:rFonts w:asciiTheme="minorHAnsi" w:hAnsiTheme="minorHAnsi"/>
          <w:sz w:val="20"/>
          <w:szCs w:val="20"/>
        </w:rPr>
        <w:t xml:space="preserve">ercados mayoristas organizados. (FERC15.03). La norma de la FERC </w:t>
      </w:r>
      <w:r w:rsidRPr="00C45748">
        <w:rPr>
          <w:rFonts w:asciiTheme="minorHAnsi" w:hAnsiTheme="minorHAnsi"/>
          <w:b/>
          <w:bCs/>
          <w:sz w:val="20"/>
          <w:szCs w:val="20"/>
        </w:rPr>
        <w:t>elimina las barreras a la participación de los proveedores de respuesta a la demanda (</w:t>
      </w:r>
      <w:r w:rsidRPr="00C45748">
        <w:rPr>
          <w:rFonts w:asciiTheme="minorHAnsi" w:hAnsiTheme="minorHAnsi"/>
          <w:b/>
          <w:bCs/>
          <w:i/>
          <w:iCs/>
          <w:sz w:val="20"/>
          <w:szCs w:val="20"/>
        </w:rPr>
        <w:t>demand response resources</w:t>
      </w:r>
      <w:r w:rsidRPr="00C45748">
        <w:rPr>
          <w:rFonts w:asciiTheme="minorHAnsi" w:hAnsiTheme="minorHAnsi"/>
          <w:b/>
          <w:bCs/>
          <w:sz w:val="20"/>
          <w:szCs w:val="20"/>
        </w:rPr>
        <w:t xml:space="preserve">) en el mercado mayorista organizado. </w:t>
      </w:r>
      <w:r w:rsidRPr="00C45748">
        <w:rPr>
          <w:rFonts w:asciiTheme="minorHAnsi" w:hAnsiTheme="minorHAnsi"/>
          <w:sz w:val="20"/>
          <w:szCs w:val="20"/>
        </w:rPr>
        <w:t>Además</w:t>
      </w:r>
      <w:r w:rsidR="00213F45">
        <w:rPr>
          <w:rFonts w:asciiTheme="minorHAnsi" w:hAnsiTheme="minorHAnsi"/>
          <w:sz w:val="20"/>
          <w:szCs w:val="20"/>
        </w:rPr>
        <w:t>,</w:t>
      </w:r>
      <w:r w:rsidRPr="00C45748">
        <w:rPr>
          <w:rFonts w:asciiTheme="minorHAnsi" w:hAnsiTheme="minorHAnsi"/>
          <w:sz w:val="20"/>
          <w:szCs w:val="20"/>
        </w:rPr>
        <w:t xml:space="preserve"> establece que los operadores pagarán a los proveedores de respuesta a la demanda el precio de mercado por su energía (</w:t>
      </w:r>
      <w:r w:rsidRPr="00C45748">
        <w:rPr>
          <w:rFonts w:asciiTheme="minorHAnsi" w:hAnsiTheme="minorHAnsi"/>
          <w:i/>
          <w:iCs/>
          <w:sz w:val="20"/>
          <w:szCs w:val="20"/>
        </w:rPr>
        <w:t>locational marginal price</w:t>
      </w:r>
      <w:r w:rsidRPr="00C45748">
        <w:rPr>
          <w:rFonts w:asciiTheme="minorHAnsi" w:hAnsiTheme="minorHAnsi"/>
          <w:sz w:val="20"/>
          <w:szCs w:val="20"/>
        </w:rPr>
        <w:t>) cuando los recursos sean capaces de equilibrar oferta y demanda como alternativa a un recurso de generación y cuando la gestión de estos recursos se considere rentable. (GPR 17.03)</w:t>
      </w:r>
      <w:r w:rsidR="00213F45">
        <w:rPr>
          <w:rFonts w:asciiTheme="minorHAnsi" w:hAnsiTheme="minorHAnsi"/>
          <w:sz w:val="20"/>
          <w:szCs w:val="20"/>
        </w:rPr>
        <w:t>.</w:t>
      </w:r>
    </w:p>
    <w:p w:rsidR="00C45748" w:rsidRPr="00046DFB" w:rsidRDefault="00C45748" w:rsidP="00A968D0">
      <w:pPr>
        <w:pStyle w:val="Default"/>
        <w:numPr>
          <w:ilvl w:val="1"/>
          <w:numId w:val="12"/>
        </w:numPr>
        <w:spacing w:before="100" w:beforeAutospacing="1" w:after="120" w:line="276" w:lineRule="auto"/>
        <w:ind w:left="284" w:hanging="284"/>
        <w:jc w:val="both"/>
        <w:rPr>
          <w:rFonts w:asciiTheme="minorHAnsi" w:hAnsiTheme="minorHAnsi"/>
          <w:sz w:val="20"/>
          <w:szCs w:val="20"/>
        </w:rPr>
      </w:pPr>
      <w:r w:rsidRPr="00046DFB">
        <w:rPr>
          <w:rFonts w:asciiTheme="minorHAnsi" w:hAnsiTheme="minorHAnsi"/>
          <w:b/>
          <w:bCs/>
          <w:sz w:val="20"/>
          <w:szCs w:val="20"/>
        </w:rPr>
        <w:t xml:space="preserve">La FERC propone normativa para aumentar la transparencia en los mercados mayoristas para evitar el abuso de mercado </w:t>
      </w:r>
      <w:r w:rsidRPr="00046DFB">
        <w:rPr>
          <w:rFonts w:asciiTheme="minorHAnsi" w:hAnsiTheme="minorHAnsi"/>
          <w:sz w:val="20"/>
          <w:szCs w:val="20"/>
        </w:rPr>
        <w:t xml:space="preserve">sobre todo en el comercio interestatal, mediante el aumento en la transparencia de los precios de venta. (GPR 28.04). </w:t>
      </w:r>
    </w:p>
    <w:p w:rsidR="00C45748" w:rsidRPr="00C45748" w:rsidRDefault="00C45748" w:rsidP="00046DFB">
      <w:pPr>
        <w:pStyle w:val="Ttulo3"/>
      </w:pPr>
      <w:r w:rsidRPr="00C45748">
        <w:t xml:space="preserve">Resto del mundo – varios </w:t>
      </w:r>
    </w:p>
    <w:p w:rsidR="00C45748" w:rsidRPr="00C45748" w:rsidRDefault="00C45748" w:rsidP="00A968D0">
      <w:pPr>
        <w:pStyle w:val="Default"/>
        <w:numPr>
          <w:ilvl w:val="1"/>
          <w:numId w:val="1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Gobierno Laborista australiano introduce el </w:t>
      </w:r>
      <w:r w:rsidRPr="00C45748">
        <w:rPr>
          <w:rFonts w:asciiTheme="minorHAnsi" w:hAnsiTheme="minorHAnsi"/>
          <w:b/>
          <w:bCs/>
          <w:i/>
          <w:iCs/>
          <w:sz w:val="20"/>
          <w:szCs w:val="20"/>
        </w:rPr>
        <w:t xml:space="preserve">Carbon Price Mechanism, </w:t>
      </w:r>
      <w:r w:rsidRPr="00C45748">
        <w:rPr>
          <w:rFonts w:asciiTheme="minorHAnsi" w:hAnsiTheme="minorHAnsi"/>
          <w:sz w:val="20"/>
          <w:szCs w:val="20"/>
        </w:rPr>
        <w:t>para reducir las emisiones de CO</w:t>
      </w:r>
      <w:r w:rsidRPr="00213F45">
        <w:rPr>
          <w:rFonts w:asciiTheme="minorHAnsi" w:hAnsiTheme="minorHAnsi"/>
          <w:sz w:val="20"/>
          <w:szCs w:val="20"/>
          <w:vertAlign w:val="subscript"/>
        </w:rPr>
        <w:t>2</w:t>
      </w:r>
      <w:r w:rsidRPr="00C45748">
        <w:rPr>
          <w:rFonts w:asciiTheme="minorHAnsi" w:hAnsiTheme="minorHAnsi"/>
          <w:sz w:val="20"/>
          <w:szCs w:val="20"/>
        </w:rPr>
        <w:t xml:space="preserve"> pero, por el momento, sin un tope a las mismas, por lo que las empresas tendrán que pagar un precio por cada tonelada emitida. Si se ratifica</w:t>
      </w:r>
      <w:r w:rsidR="007634A1">
        <w:rPr>
          <w:rFonts w:asciiTheme="minorHAnsi" w:hAnsiTheme="minorHAnsi"/>
          <w:sz w:val="20"/>
          <w:szCs w:val="20"/>
        </w:rPr>
        <w:t>,</w:t>
      </w:r>
      <w:r w:rsidRPr="00C45748">
        <w:rPr>
          <w:rFonts w:asciiTheme="minorHAnsi" w:hAnsiTheme="minorHAnsi"/>
          <w:sz w:val="20"/>
          <w:szCs w:val="20"/>
        </w:rPr>
        <w:t xml:space="preserve"> entrará en funcionamiento en 2012. (GPR, 03.03) </w:t>
      </w:r>
      <w:r w:rsidRPr="00C45748">
        <w:rPr>
          <w:rFonts w:asciiTheme="minorHAnsi" w:hAnsiTheme="minorHAnsi"/>
          <w:b/>
          <w:bCs/>
          <w:sz w:val="20"/>
          <w:szCs w:val="20"/>
        </w:rPr>
        <w:t xml:space="preserve">Estas políticas para el carbono ofrecen nuevas oportunidades a las renovables, </w:t>
      </w:r>
      <w:r w:rsidRPr="00C45748">
        <w:rPr>
          <w:rFonts w:asciiTheme="minorHAnsi" w:hAnsiTheme="minorHAnsi"/>
          <w:sz w:val="20"/>
          <w:szCs w:val="20"/>
        </w:rPr>
        <w:t xml:space="preserve">ya que se espera que la fijación de un precio por las emisiones estimule la inversión en proyectos y sea un primer paso hacia un sistema de </w:t>
      </w:r>
      <w:r w:rsidR="00213F45">
        <w:rPr>
          <w:rFonts w:asciiTheme="minorHAnsi" w:hAnsiTheme="minorHAnsi"/>
          <w:sz w:val="20"/>
          <w:szCs w:val="20"/>
        </w:rPr>
        <w:t>comercio de derechos de emisión.</w:t>
      </w:r>
      <w:r w:rsidRPr="00C45748">
        <w:rPr>
          <w:rFonts w:asciiTheme="minorHAnsi" w:hAnsiTheme="minorHAnsi"/>
          <w:sz w:val="20"/>
          <w:szCs w:val="20"/>
        </w:rPr>
        <w:t xml:space="preserve"> (RER 07.03) </w:t>
      </w:r>
      <w:r w:rsidR="00213F45">
        <w:rPr>
          <w:rFonts w:asciiTheme="minorHAnsi" w:hAnsiTheme="minorHAnsi"/>
          <w:sz w:val="20"/>
          <w:szCs w:val="20"/>
        </w:rPr>
        <w:t xml:space="preserve">y </w:t>
      </w:r>
      <w:r w:rsidRPr="00C45748">
        <w:rPr>
          <w:rFonts w:asciiTheme="minorHAnsi" w:hAnsiTheme="minorHAnsi"/>
          <w:sz w:val="20"/>
          <w:szCs w:val="20"/>
        </w:rPr>
        <w:t xml:space="preserve">(RER 18.04). </w:t>
      </w:r>
    </w:p>
    <w:p w:rsidR="00C45748" w:rsidRPr="00C45748" w:rsidRDefault="00C45748" w:rsidP="00A968D0">
      <w:pPr>
        <w:pStyle w:val="Default"/>
        <w:numPr>
          <w:ilvl w:val="1"/>
          <w:numId w:val="1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La incipiente industria israelí de renovables padece la inseguridad de las políticas</w:t>
      </w:r>
      <w:r w:rsidRPr="00C45748">
        <w:rPr>
          <w:rFonts w:asciiTheme="minorHAnsi" w:hAnsiTheme="minorHAnsi"/>
          <w:sz w:val="20"/>
          <w:szCs w:val="20"/>
        </w:rPr>
        <w:t>, a la espera de que el gobierno decida si reduce sus objetivos de generación. Por un lado, el Ministro de Finanzas quiere revisar el coste de generación con renovables y por otro, el Ministro de Infraestructuras sostiene que deben mantenerse los compromisos (producir un 20% de energía renovable en 2020, y reducir la dependencia del petróleo). El Primer Ministro no se ha decantado aún por ningun</w:t>
      </w:r>
      <w:r w:rsidR="00213F45">
        <w:rPr>
          <w:rFonts w:asciiTheme="minorHAnsi" w:hAnsiTheme="minorHAnsi"/>
          <w:sz w:val="20"/>
          <w:szCs w:val="20"/>
        </w:rPr>
        <w:t>a de las opciones. (RER, 07.03).</w:t>
      </w:r>
    </w:p>
    <w:p w:rsidR="00C45748" w:rsidRPr="00C45748" w:rsidRDefault="00C45748" w:rsidP="00A968D0">
      <w:pPr>
        <w:pStyle w:val="Default"/>
        <w:numPr>
          <w:ilvl w:val="1"/>
          <w:numId w:val="1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Según fuentes del Gobierno Chino, </w:t>
      </w:r>
      <w:r w:rsidRPr="00C45748">
        <w:rPr>
          <w:rFonts w:asciiTheme="minorHAnsi" w:hAnsiTheme="minorHAnsi"/>
          <w:b/>
          <w:bCs/>
          <w:i/>
          <w:iCs/>
          <w:sz w:val="20"/>
          <w:szCs w:val="20"/>
        </w:rPr>
        <w:t xml:space="preserve">China Southern Power Grid Corp </w:t>
      </w:r>
      <w:r w:rsidRPr="00C45748">
        <w:rPr>
          <w:rFonts w:asciiTheme="minorHAnsi" w:hAnsiTheme="minorHAnsi"/>
          <w:sz w:val="20"/>
          <w:szCs w:val="20"/>
        </w:rPr>
        <w:t xml:space="preserve">(la más pequeña de las dos distribuidoras estatales chinas) </w:t>
      </w:r>
      <w:r w:rsidRPr="00C45748">
        <w:rPr>
          <w:rFonts w:asciiTheme="minorHAnsi" w:hAnsiTheme="minorHAnsi"/>
          <w:b/>
          <w:bCs/>
          <w:sz w:val="20"/>
          <w:szCs w:val="20"/>
        </w:rPr>
        <w:t xml:space="preserve">incrementará sus inversiones en redes en torno a un 30% en los próximos 5 años, </w:t>
      </w:r>
      <w:r w:rsidRPr="00C45748">
        <w:rPr>
          <w:rFonts w:asciiTheme="minorHAnsi" w:hAnsiTheme="minorHAnsi"/>
          <w:sz w:val="20"/>
          <w:szCs w:val="20"/>
        </w:rPr>
        <w:t xml:space="preserve">en parte, para acomodar la producción de energías renovables. El 28% se destinará a inversiones en áreas rurales, donde se están instalando muchas de las granjas eólicas chinas. (RER, 07.03). Por otro lado, </w:t>
      </w:r>
      <w:r w:rsidRPr="00C45748">
        <w:rPr>
          <w:rFonts w:asciiTheme="minorHAnsi" w:hAnsiTheme="minorHAnsi"/>
          <w:b/>
          <w:bCs/>
          <w:sz w:val="20"/>
          <w:szCs w:val="20"/>
        </w:rPr>
        <w:t xml:space="preserve">el boom eólico chino desencadena las exportaciones. </w:t>
      </w:r>
      <w:r w:rsidRPr="00C45748">
        <w:rPr>
          <w:rFonts w:asciiTheme="minorHAnsi" w:hAnsiTheme="minorHAnsi"/>
          <w:sz w:val="20"/>
          <w:szCs w:val="20"/>
        </w:rPr>
        <w:t>El rápido crecimiento del sector ha provocado una reestructuración nacional, y muchos de los principales fabricantes se están orientando al mercado de exportación. La calidad es un tema de mayor importancia, al ser un criterio imprescindible para conseguir la financiación a un proyecto. (RER, 21.03)</w:t>
      </w:r>
      <w:r w:rsidR="00213F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ministerio de energía indio afirma que el país necesita desarrollar renovables para cubrir la creciente demanda interna, </w:t>
      </w:r>
      <w:r w:rsidRPr="00C45748">
        <w:rPr>
          <w:rFonts w:asciiTheme="minorHAnsi" w:hAnsiTheme="minorHAnsi"/>
          <w:sz w:val="20"/>
          <w:szCs w:val="20"/>
        </w:rPr>
        <w:t xml:space="preserve">especialmente porque las cuestiones ambientales y de combustibles están estancando el desarrollo de los proyectos térmicos tradicionales. El </w:t>
      </w:r>
      <w:r w:rsidRPr="00213F45">
        <w:rPr>
          <w:rFonts w:asciiTheme="minorHAnsi" w:hAnsiTheme="minorHAnsi"/>
          <w:sz w:val="20"/>
          <w:szCs w:val="20"/>
        </w:rPr>
        <w:t>estudio</w:t>
      </w:r>
      <w:r w:rsidR="00213F45" w:rsidRPr="00213F45">
        <w:rPr>
          <w:rFonts w:asciiTheme="minorHAnsi" w:hAnsiTheme="minorHAnsi"/>
          <w:sz w:val="20"/>
          <w:szCs w:val="20"/>
        </w:rPr>
        <w:t xml:space="preserve"> </w:t>
      </w:r>
      <w:r w:rsidRPr="00C45748">
        <w:rPr>
          <w:rFonts w:asciiTheme="minorHAnsi" w:hAnsiTheme="minorHAnsi"/>
          <w:sz w:val="20"/>
          <w:szCs w:val="20"/>
        </w:rPr>
        <w:t xml:space="preserve">sobre el futuro de las renovables en el país también dice que serán fundamentales para el aumento de la red, proporcionando acceso a la energía, reduciendo el consumo de combustibles fósiles y ayudando a </w:t>
      </w:r>
      <w:r w:rsidRPr="00C45748">
        <w:rPr>
          <w:rFonts w:asciiTheme="minorHAnsi" w:hAnsiTheme="minorHAnsi"/>
          <w:sz w:val="20"/>
          <w:szCs w:val="20"/>
        </w:rPr>
        <w:lastRenderedPageBreak/>
        <w:t>India a proseguir su camino de disminución del carbón. El gobierno ha fijado objetivos de capacidad renovable e incentivos financieros a la misma. (GPR 10.03)</w:t>
      </w:r>
      <w:r w:rsidR="00213F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La </w:t>
      </w:r>
      <w:r w:rsidRPr="00C45748">
        <w:rPr>
          <w:rFonts w:asciiTheme="minorHAnsi" w:hAnsiTheme="minorHAnsi"/>
          <w:b/>
          <w:bCs/>
          <w:i/>
          <w:iCs/>
          <w:sz w:val="20"/>
          <w:szCs w:val="20"/>
        </w:rPr>
        <w:t xml:space="preserve">Serbian Wind Energy Association </w:t>
      </w:r>
      <w:r w:rsidRPr="00C45748">
        <w:rPr>
          <w:rFonts w:asciiTheme="minorHAnsi" w:hAnsiTheme="minorHAnsi"/>
          <w:b/>
          <w:bCs/>
          <w:sz w:val="20"/>
          <w:szCs w:val="20"/>
        </w:rPr>
        <w:t xml:space="preserve">(SEWEA) en contra del borrador de ley de eólica serbia, </w:t>
      </w:r>
      <w:r w:rsidRPr="00C45748">
        <w:rPr>
          <w:rFonts w:asciiTheme="minorHAnsi" w:hAnsiTheme="minorHAnsi"/>
          <w:sz w:val="20"/>
          <w:szCs w:val="20"/>
        </w:rPr>
        <w:t>al considerar que ésta no está armonizada completamente con los estándares de la UE, ya que relega la mayoría de los temas relacionados con el sector renovable a futuros desarrollos legales.(RER 21.03)</w:t>
      </w:r>
      <w:r w:rsidR="00213F45">
        <w:rPr>
          <w:rFonts w:asciiTheme="minorHAnsi" w:hAnsiTheme="minorHAnsi"/>
          <w:sz w:val="20"/>
          <w:szCs w:val="20"/>
        </w:rPr>
        <w:t>.</w:t>
      </w:r>
      <w:r w:rsidRPr="00C45748">
        <w:rPr>
          <w:rFonts w:asciiTheme="minorHAnsi" w:hAnsiTheme="minorHAnsi"/>
          <w:sz w:val="20"/>
          <w:szCs w:val="20"/>
        </w:rPr>
        <w:t xml:space="preserve"> </w:t>
      </w:r>
    </w:p>
    <w:p w:rsidR="00C45748" w:rsidRPr="00C45748" w:rsidRDefault="00C45748" w:rsidP="00A968D0">
      <w:pPr>
        <w:pStyle w:val="Default"/>
        <w:numPr>
          <w:ilvl w:val="1"/>
          <w:numId w:val="1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El regulador brasileño, ANEEL, cuestiona el boom eólico del país tras comprobar que algunos parques no alcanzaron las producciones previstas para los últimos dos años, </w:t>
      </w:r>
      <w:r w:rsidRPr="00C45748">
        <w:rPr>
          <w:rFonts w:asciiTheme="minorHAnsi" w:hAnsiTheme="minorHAnsi"/>
          <w:sz w:val="20"/>
          <w:szCs w:val="20"/>
        </w:rPr>
        <w:t xml:space="preserve">lo que desajusta la planificación, operaciones y, por tanto, el precio de la electricidad. ANEEL está considerando si se debe sólo a un periodo de poco viento o a errores sistemáticos de cálculo del potencial de generación y recomienda a la industria que mejore la precisión y certificación de sus mediciones para minimizar los errores (RER, 21.03) </w:t>
      </w:r>
    </w:p>
    <w:p w:rsidR="00C45748" w:rsidRPr="00C45748" w:rsidRDefault="00C45748" w:rsidP="00A968D0">
      <w:pPr>
        <w:pStyle w:val="Default"/>
        <w:numPr>
          <w:ilvl w:val="1"/>
          <w:numId w:val="13"/>
        </w:numPr>
        <w:spacing w:before="100" w:beforeAutospacing="1" w:after="120" w:line="276" w:lineRule="auto"/>
        <w:ind w:left="284" w:hanging="284"/>
        <w:jc w:val="both"/>
        <w:rPr>
          <w:rFonts w:asciiTheme="minorHAnsi" w:hAnsiTheme="minorHAnsi"/>
          <w:sz w:val="20"/>
          <w:szCs w:val="20"/>
        </w:rPr>
      </w:pPr>
      <w:r w:rsidRPr="00C45748">
        <w:rPr>
          <w:rFonts w:asciiTheme="minorHAnsi" w:hAnsiTheme="minorHAnsi"/>
          <w:b/>
          <w:bCs/>
          <w:sz w:val="20"/>
          <w:szCs w:val="20"/>
        </w:rPr>
        <w:t xml:space="preserve">En Brasil se lanzará en junio una plataforma de venta de electricidad, BRIX, </w:t>
      </w:r>
      <w:r w:rsidRPr="00C45748">
        <w:rPr>
          <w:rFonts w:asciiTheme="minorHAnsi" w:hAnsiTheme="minorHAnsi"/>
          <w:sz w:val="20"/>
          <w:szCs w:val="20"/>
        </w:rPr>
        <w:t>promovida por compañías energéticas independientes y que registrará sus operaciones en CCEE (</w:t>
      </w:r>
      <w:r w:rsidRPr="00C45748">
        <w:rPr>
          <w:rFonts w:asciiTheme="minorHAnsi" w:hAnsiTheme="minorHAnsi"/>
          <w:i/>
          <w:iCs/>
          <w:sz w:val="20"/>
          <w:szCs w:val="20"/>
        </w:rPr>
        <w:t>Camara de comercializacao de energía</w:t>
      </w:r>
      <w:r w:rsidRPr="00C45748">
        <w:rPr>
          <w:rFonts w:asciiTheme="minorHAnsi" w:hAnsiTheme="minorHAnsi"/>
          <w:sz w:val="20"/>
          <w:szCs w:val="20"/>
        </w:rPr>
        <w:t>).(GPR 21.04)</w:t>
      </w:r>
    </w:p>
    <w:p w:rsidR="00C45748" w:rsidRPr="00C45748" w:rsidRDefault="00C45748" w:rsidP="00046DFB">
      <w:pPr>
        <w:pStyle w:val="Ttulo2"/>
      </w:pPr>
      <w:r w:rsidRPr="00C45748">
        <w:t xml:space="preserve">4. Dará que hablar… </w:t>
      </w:r>
    </w:p>
    <w:p w:rsidR="00C45748" w:rsidRPr="00C45748" w:rsidRDefault="00C45748" w:rsidP="00046DFB">
      <w:pPr>
        <w:pStyle w:val="Default"/>
        <w:spacing w:before="100" w:beforeAutospacing="1" w:after="100" w:afterAutospacing="1" w:line="276" w:lineRule="auto"/>
        <w:jc w:val="both"/>
        <w:rPr>
          <w:rFonts w:asciiTheme="minorHAnsi" w:hAnsiTheme="minorHAnsi"/>
          <w:sz w:val="20"/>
          <w:szCs w:val="20"/>
        </w:rPr>
      </w:pPr>
      <w:r w:rsidRPr="00C45748">
        <w:rPr>
          <w:rFonts w:asciiTheme="minorHAnsi" w:hAnsiTheme="minorHAnsi"/>
          <w:b/>
          <w:bCs/>
          <w:sz w:val="20"/>
          <w:szCs w:val="20"/>
        </w:rPr>
        <w:t xml:space="preserve">En Alemania la decisión de cierre de las centrales nucleares y la moratoria de tres meses abre el debate sobre las renovables: </w:t>
      </w:r>
      <w:r w:rsidRPr="00C45748">
        <w:rPr>
          <w:rFonts w:asciiTheme="minorHAnsi" w:hAnsiTheme="minorHAnsi"/>
          <w:sz w:val="20"/>
          <w:szCs w:val="20"/>
        </w:rPr>
        <w:t xml:space="preserve">ante el previsible cierre de las centrales nucleares, el gobierno se decantaría por la generación con renovables, lo que podría suponer un aumento significativo de los costes. Entre ellos destacan los que se producirían por la necesidad de tener que realizar una masiva extensión de las redes de transporte y distribución para dar cabida a esa generación o la necesidad de desarrollar nuevas infraestructuras y tecnologías de almacenamiento de energía. El debate nuclear no sólo tiene consecuencias económicas sino políticas, ya que el debate está haciendo que Los Verdes ganen peso político. (RER 04.04). Al mismo tiempo, </w:t>
      </w:r>
      <w:r w:rsidRPr="00C45748">
        <w:rPr>
          <w:rFonts w:asciiTheme="minorHAnsi" w:hAnsiTheme="minorHAnsi"/>
          <w:b/>
          <w:bCs/>
          <w:sz w:val="20"/>
          <w:szCs w:val="20"/>
        </w:rPr>
        <w:t>RWE Power ha apelado el cierre por tres meses de su planta Biblis</w:t>
      </w:r>
      <w:r w:rsidRPr="00C45748">
        <w:rPr>
          <w:rFonts w:asciiTheme="minorHAnsi" w:hAnsiTheme="minorHAnsi"/>
          <w:sz w:val="20"/>
          <w:szCs w:val="20"/>
        </w:rPr>
        <w:t xml:space="preserve">, impuesto por el gobierno alemán alegando que la central cumple todas las exigencias de seguridad (PIE 04.04) mientras que la </w:t>
      </w:r>
      <w:r w:rsidRPr="00C45748">
        <w:rPr>
          <w:rFonts w:asciiTheme="minorHAnsi" w:hAnsiTheme="minorHAnsi"/>
          <w:b/>
          <w:bCs/>
          <w:sz w:val="20"/>
          <w:szCs w:val="20"/>
        </w:rPr>
        <w:t xml:space="preserve">Agencia Federal de Medio Ambiente alemana afirma que podrían cerrase nueve centrales nucleares sin poner en peligro la seguridad de suministro </w:t>
      </w:r>
      <w:r w:rsidRPr="00C45748">
        <w:rPr>
          <w:rFonts w:asciiTheme="minorHAnsi" w:hAnsiTheme="minorHAnsi"/>
          <w:sz w:val="20"/>
          <w:szCs w:val="20"/>
        </w:rPr>
        <w:t xml:space="preserve">y sin necesidad de importar más energía aunque el gobierno está estudiando la posibilidad de cerrar las centrales nucleares más nuevas antes del calendario de cierre pre-extensión. (Reuters y Süddeutsche Zeitung, 17.03). Además de la apelación realizada por RWE, </w:t>
      </w:r>
      <w:r w:rsidRPr="00C45748">
        <w:rPr>
          <w:rFonts w:asciiTheme="minorHAnsi" w:hAnsiTheme="minorHAnsi"/>
          <w:b/>
          <w:bCs/>
          <w:sz w:val="20"/>
          <w:szCs w:val="20"/>
        </w:rPr>
        <w:t xml:space="preserve">las empresas alemanas con nucleares se han negado a pagar el fondo ecológico </w:t>
      </w:r>
      <w:r w:rsidRPr="00C45748">
        <w:rPr>
          <w:rFonts w:asciiTheme="minorHAnsi" w:hAnsiTheme="minorHAnsi"/>
          <w:sz w:val="20"/>
          <w:szCs w:val="20"/>
        </w:rPr>
        <w:t xml:space="preserve">al considerar que el Gobierno había roto con el previsible cierre de las centrales el pacto firmado. (Merryll Lynch 11.04). </w:t>
      </w:r>
      <w:r w:rsidRPr="00C45748">
        <w:rPr>
          <w:rFonts w:asciiTheme="minorHAnsi" w:hAnsiTheme="minorHAnsi"/>
          <w:b/>
          <w:bCs/>
          <w:sz w:val="20"/>
          <w:szCs w:val="20"/>
        </w:rPr>
        <w:t xml:space="preserve">La posición del Gobierno es que las empresas están obligadas a pagar este fondo </w:t>
      </w:r>
      <w:r w:rsidRPr="00C45748">
        <w:rPr>
          <w:rFonts w:asciiTheme="minorHAnsi" w:hAnsiTheme="minorHAnsi"/>
          <w:sz w:val="20"/>
          <w:szCs w:val="20"/>
        </w:rPr>
        <w:t>al considerar que son pagos anticipados por la extensión de la vida útil de las centrales, posición que las empresas rechazan al existir dudas más que razonables de que se materialice la extensión de la vida útil de los activos nucleares (Merryll Lynch 12.04). Mientras, e</w:t>
      </w:r>
      <w:r w:rsidRPr="00C45748">
        <w:rPr>
          <w:rFonts w:asciiTheme="minorHAnsi" w:hAnsiTheme="minorHAnsi"/>
          <w:b/>
          <w:bCs/>
          <w:sz w:val="20"/>
          <w:szCs w:val="20"/>
        </w:rPr>
        <w:t xml:space="preserve">l Ministro de Finanzas de Alemania (CDU) está considerando aumentar los impuestos sobre combustible nuclear </w:t>
      </w:r>
      <w:r w:rsidRPr="00C45748">
        <w:rPr>
          <w:rFonts w:asciiTheme="minorHAnsi" w:hAnsiTheme="minorHAnsi"/>
          <w:sz w:val="20"/>
          <w:szCs w:val="20"/>
        </w:rPr>
        <w:t>para compensar los 200</w:t>
      </w:r>
      <w:r w:rsidR="009A2E80">
        <w:rPr>
          <w:rFonts w:asciiTheme="minorHAnsi" w:hAnsiTheme="minorHAnsi"/>
          <w:sz w:val="20"/>
          <w:szCs w:val="20"/>
        </w:rPr>
        <w:t xml:space="preserve"> </w:t>
      </w:r>
      <w:r w:rsidR="007634A1">
        <w:rPr>
          <w:rFonts w:asciiTheme="minorHAnsi" w:hAnsiTheme="minorHAnsi"/>
          <w:sz w:val="20"/>
          <w:szCs w:val="20"/>
        </w:rPr>
        <w:t>M€</w:t>
      </w:r>
      <w:r w:rsidRPr="00C45748">
        <w:rPr>
          <w:rFonts w:asciiTheme="minorHAnsi" w:hAnsiTheme="minorHAnsi"/>
          <w:sz w:val="20"/>
          <w:szCs w:val="20"/>
        </w:rPr>
        <w:t xml:space="preserve"> de déficit estimado en los ingresos fiscales. (Der Spiegel, 04.04) y </w:t>
      </w:r>
      <w:r w:rsidRPr="00C45748">
        <w:rPr>
          <w:rFonts w:asciiTheme="minorHAnsi" w:hAnsiTheme="minorHAnsi"/>
          <w:b/>
          <w:bCs/>
          <w:sz w:val="20"/>
          <w:szCs w:val="20"/>
        </w:rPr>
        <w:t xml:space="preserve">EON podría llevar al Gobierno alemán ante los Tribunales por el impuesto sobre el combustible nuclear </w:t>
      </w:r>
      <w:r w:rsidRPr="00C45748">
        <w:rPr>
          <w:rFonts w:asciiTheme="minorHAnsi" w:hAnsiTheme="minorHAnsi"/>
          <w:sz w:val="20"/>
          <w:szCs w:val="20"/>
        </w:rPr>
        <w:t>introducido en enero.</w:t>
      </w:r>
      <w:r w:rsidR="009A2E80">
        <w:rPr>
          <w:rFonts w:asciiTheme="minorHAnsi" w:hAnsiTheme="minorHAnsi"/>
          <w:sz w:val="20"/>
          <w:szCs w:val="20"/>
        </w:rPr>
        <w:t xml:space="preserve"> </w:t>
      </w:r>
      <w:r w:rsidRPr="00C45748">
        <w:rPr>
          <w:rFonts w:asciiTheme="minorHAnsi" w:hAnsiTheme="minorHAnsi"/>
          <w:sz w:val="20"/>
          <w:szCs w:val="20"/>
        </w:rPr>
        <w:t xml:space="preserve">(Varias fuentes). </w:t>
      </w:r>
    </w:p>
    <w:p w:rsidR="00C45748" w:rsidRPr="00C45748" w:rsidRDefault="00C45748" w:rsidP="00046DFB">
      <w:pPr>
        <w:pStyle w:val="Default"/>
        <w:spacing w:before="100" w:beforeAutospacing="1" w:after="100" w:afterAutospacing="1" w:line="276" w:lineRule="auto"/>
        <w:jc w:val="both"/>
        <w:rPr>
          <w:rFonts w:asciiTheme="minorHAnsi" w:hAnsiTheme="minorHAnsi"/>
          <w:sz w:val="20"/>
          <w:szCs w:val="20"/>
        </w:rPr>
      </w:pPr>
      <w:r w:rsidRPr="00C45748">
        <w:rPr>
          <w:rFonts w:asciiTheme="minorHAnsi" w:hAnsiTheme="minorHAnsi"/>
          <w:b/>
          <w:bCs/>
          <w:sz w:val="20"/>
          <w:szCs w:val="20"/>
        </w:rPr>
        <w:t>El gobierno francés anuncia la apertura del acceso a la electricidad nuclear de EDF a los nuevos proveedores desde el 1 de julio</w:t>
      </w:r>
      <w:r w:rsidRPr="00C45748">
        <w:rPr>
          <w:rFonts w:asciiTheme="minorHAnsi" w:hAnsiTheme="minorHAnsi"/>
          <w:sz w:val="20"/>
          <w:szCs w:val="20"/>
        </w:rPr>
        <w:t xml:space="preserve">, con lo que la nueva regulación prevista en la ley NOME será opcional </w:t>
      </w:r>
      <w:r w:rsidRPr="00C45748">
        <w:rPr>
          <w:rFonts w:asciiTheme="minorHAnsi" w:hAnsiTheme="minorHAnsi"/>
          <w:sz w:val="20"/>
          <w:szCs w:val="20"/>
        </w:rPr>
        <w:lastRenderedPageBreak/>
        <w:t xml:space="preserve">desde esa fecha. Tras largas negociaciones entre el ejecutivo y la eléctrica, el precio fijado finalmente para la energía nuclear de base, conocido como </w:t>
      </w:r>
      <w:r w:rsidRPr="00C45748">
        <w:rPr>
          <w:rFonts w:asciiTheme="minorHAnsi" w:hAnsiTheme="minorHAnsi"/>
          <w:b/>
          <w:bCs/>
          <w:i/>
          <w:iCs/>
          <w:sz w:val="20"/>
          <w:szCs w:val="20"/>
        </w:rPr>
        <w:t xml:space="preserve">ARENH </w:t>
      </w:r>
      <w:r w:rsidR="006D2AD3">
        <w:rPr>
          <w:rFonts w:asciiTheme="minorHAnsi" w:hAnsiTheme="minorHAnsi"/>
          <w:b/>
          <w:bCs/>
          <w:sz w:val="20"/>
          <w:szCs w:val="20"/>
        </w:rPr>
        <w:t>es de 40 €</w:t>
      </w:r>
      <w:r w:rsidRPr="00C45748">
        <w:rPr>
          <w:rFonts w:asciiTheme="minorHAnsi" w:hAnsiTheme="minorHAnsi"/>
          <w:b/>
          <w:bCs/>
          <w:sz w:val="20"/>
          <w:szCs w:val="20"/>
        </w:rPr>
        <w:t xml:space="preserve">/MWh para 2011, y de 42 </w:t>
      </w:r>
      <w:r w:rsidR="006D2AD3">
        <w:rPr>
          <w:rFonts w:asciiTheme="minorHAnsi" w:hAnsiTheme="minorHAnsi"/>
          <w:b/>
          <w:bCs/>
          <w:sz w:val="20"/>
          <w:szCs w:val="20"/>
        </w:rPr>
        <w:t>€</w:t>
      </w:r>
      <w:r w:rsidRPr="00C45748">
        <w:rPr>
          <w:rFonts w:asciiTheme="minorHAnsi" w:hAnsiTheme="minorHAnsi"/>
          <w:b/>
          <w:bCs/>
          <w:sz w:val="20"/>
          <w:szCs w:val="20"/>
        </w:rPr>
        <w:t xml:space="preserve">/MWh para el 2012. </w:t>
      </w:r>
      <w:r w:rsidRPr="00C45748">
        <w:rPr>
          <w:rFonts w:asciiTheme="minorHAnsi" w:hAnsiTheme="minorHAnsi"/>
          <w:sz w:val="20"/>
          <w:szCs w:val="20"/>
        </w:rPr>
        <w:t xml:space="preserve">(Ministerio de finanzas francés) </w:t>
      </w:r>
    </w:p>
    <w:p w:rsidR="00C45748" w:rsidRPr="00046DFB" w:rsidRDefault="00C45748" w:rsidP="00046DFB">
      <w:pPr>
        <w:pStyle w:val="Default"/>
        <w:spacing w:before="100" w:beforeAutospacing="1" w:after="100" w:afterAutospacing="1" w:line="276" w:lineRule="auto"/>
        <w:jc w:val="both"/>
        <w:rPr>
          <w:rFonts w:asciiTheme="minorHAnsi" w:hAnsiTheme="minorHAnsi"/>
          <w:sz w:val="20"/>
          <w:szCs w:val="20"/>
        </w:rPr>
      </w:pPr>
      <w:r w:rsidRPr="00C45748">
        <w:rPr>
          <w:rFonts w:asciiTheme="minorHAnsi" w:hAnsiTheme="minorHAnsi"/>
          <w:b/>
          <w:bCs/>
          <w:sz w:val="20"/>
          <w:szCs w:val="20"/>
        </w:rPr>
        <w:t xml:space="preserve">La FERC revisa sus políticas de acceso prioritario a las redes, para incluir el nuevo modelo de negocio de propiedad y operación de las redes. </w:t>
      </w:r>
      <w:r w:rsidRPr="00C45748">
        <w:rPr>
          <w:rFonts w:asciiTheme="minorHAnsi" w:hAnsiTheme="minorHAnsi"/>
          <w:sz w:val="20"/>
          <w:szCs w:val="20"/>
        </w:rPr>
        <w:t xml:space="preserve">Desde que la FERC emitió su </w:t>
      </w:r>
      <w:r w:rsidRPr="00C45748">
        <w:rPr>
          <w:rFonts w:asciiTheme="minorHAnsi" w:hAnsiTheme="minorHAnsi"/>
          <w:i/>
          <w:iCs/>
          <w:sz w:val="20"/>
          <w:szCs w:val="20"/>
        </w:rPr>
        <w:t xml:space="preserve">Order Nº 888 </w:t>
      </w:r>
      <w:r w:rsidRPr="00C45748">
        <w:rPr>
          <w:rFonts w:asciiTheme="minorHAnsi" w:hAnsiTheme="minorHAnsi"/>
          <w:sz w:val="20"/>
          <w:szCs w:val="20"/>
        </w:rPr>
        <w:t>en 1996 sobre las reglas de ATR, las condiciones de mercado han cambiado, por lo que la FERC quiere alcanzar un equilibrio entre sus políticas de libre acceso y tratamiento no-discriminatorio con las necesidades de los promotores de las infraestructuras. (GPR 03.03)</w:t>
      </w:r>
      <w:r w:rsidR="009A2E80">
        <w:rPr>
          <w:rFonts w:asciiTheme="minorHAnsi" w:hAnsiTheme="minorHAnsi"/>
          <w:sz w:val="20"/>
          <w:szCs w:val="20"/>
        </w:rPr>
        <w:t>.</w:t>
      </w:r>
    </w:p>
    <w:sectPr w:rsidR="00C45748" w:rsidRPr="00046DFB" w:rsidSect="005276F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62" w:rsidRDefault="00972A62" w:rsidP="006A35D8">
      <w:r>
        <w:separator/>
      </w:r>
    </w:p>
  </w:endnote>
  <w:endnote w:type="continuationSeparator" w:id="0">
    <w:p w:rsidR="00972A62" w:rsidRDefault="00972A62" w:rsidP="006A35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ueOptimaBold">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F8" w:rsidRDefault="000F69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80783547"/>
      <w:docPartObj>
        <w:docPartGallery w:val="Page Numbers (Bottom of Page)"/>
        <w:docPartUnique/>
      </w:docPartObj>
    </w:sdtPr>
    <w:sdtEndPr>
      <w:rPr>
        <w:szCs w:val="22"/>
      </w:rPr>
    </w:sdtEndPr>
    <w:sdtContent>
      <w:p w:rsidR="002643A6" w:rsidRPr="00CF0576" w:rsidRDefault="00DC5E6F" w:rsidP="00CF0576">
        <w:pPr>
          <w:pStyle w:val="Piedepgina"/>
          <w:tabs>
            <w:tab w:val="clear" w:pos="8504"/>
            <w:tab w:val="right" w:pos="8789"/>
          </w:tabs>
          <w:spacing w:after="0"/>
          <w:jc w:val="center"/>
          <w:rPr>
            <w:szCs w:val="20"/>
          </w:rPr>
        </w:pPr>
        <w:r w:rsidRPr="00CF0576">
          <w:rPr>
            <w:szCs w:val="20"/>
          </w:rPr>
          <w:fldChar w:fldCharType="begin"/>
        </w:r>
        <w:r w:rsidR="002643A6" w:rsidRPr="00CF0576">
          <w:rPr>
            <w:szCs w:val="20"/>
          </w:rPr>
          <w:instrText xml:space="preserve"> PAGE   \* MERGEFORMAT </w:instrText>
        </w:r>
        <w:r w:rsidRPr="00CF0576">
          <w:rPr>
            <w:szCs w:val="20"/>
          </w:rPr>
          <w:fldChar w:fldCharType="separate"/>
        </w:r>
        <w:r w:rsidR="002E3E8C">
          <w:rPr>
            <w:noProof/>
            <w:szCs w:val="20"/>
          </w:rPr>
          <w:t>3</w:t>
        </w:r>
        <w:r w:rsidRPr="00CF0576">
          <w:rPr>
            <w:szCs w:val="20"/>
          </w:rPr>
          <w:fldChar w:fldCharType="end"/>
        </w:r>
        <w:r w:rsidR="002643A6" w:rsidRPr="00CF0576">
          <w:rPr>
            <w:szCs w:val="20"/>
          </w:rPr>
          <w:t xml:space="preserve"> </w:t>
        </w:r>
        <w:r w:rsidR="002643A6" w:rsidRPr="00CF0576">
          <w:rPr>
            <w:rStyle w:val="Nmerodepgina"/>
            <w:szCs w:val="20"/>
          </w:rPr>
          <w:t xml:space="preserve">de </w:t>
        </w:r>
        <w:r w:rsidRPr="00CF0576">
          <w:rPr>
            <w:rStyle w:val="Nmerodepgina"/>
            <w:szCs w:val="20"/>
          </w:rPr>
          <w:fldChar w:fldCharType="begin"/>
        </w:r>
        <w:r w:rsidR="002643A6" w:rsidRPr="00CF0576">
          <w:rPr>
            <w:rStyle w:val="Nmerodepgina"/>
            <w:szCs w:val="20"/>
          </w:rPr>
          <w:instrText xml:space="preserve"> NUMPAGES </w:instrText>
        </w:r>
        <w:r w:rsidRPr="00CF0576">
          <w:rPr>
            <w:rStyle w:val="Nmerodepgina"/>
            <w:szCs w:val="20"/>
          </w:rPr>
          <w:fldChar w:fldCharType="separate"/>
        </w:r>
        <w:r w:rsidR="002E3E8C">
          <w:rPr>
            <w:rStyle w:val="Nmerodepgina"/>
            <w:noProof/>
            <w:szCs w:val="20"/>
          </w:rPr>
          <w:t>14</w:t>
        </w:r>
        <w:r w:rsidRPr="00CF0576">
          <w:rPr>
            <w:rStyle w:val="Nmerodepgina"/>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F8" w:rsidRDefault="000F69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62" w:rsidRDefault="00972A62" w:rsidP="006A35D8">
      <w:r>
        <w:separator/>
      </w:r>
    </w:p>
  </w:footnote>
  <w:footnote w:type="continuationSeparator" w:id="0">
    <w:p w:rsidR="00972A62" w:rsidRDefault="00972A62" w:rsidP="006A35D8">
      <w:r>
        <w:continuationSeparator/>
      </w:r>
    </w:p>
  </w:footnote>
  <w:footnote w:id="1">
    <w:p w:rsidR="002643A6" w:rsidRPr="003D0B30" w:rsidRDefault="002643A6">
      <w:pPr>
        <w:pStyle w:val="Textonotapie"/>
        <w:rPr>
          <w:rFonts w:asciiTheme="minorHAnsi" w:hAnsiTheme="minorHAnsi"/>
          <w:lang w:val="en-US"/>
        </w:rPr>
      </w:pPr>
      <w:r w:rsidRPr="00E667A9">
        <w:rPr>
          <w:rStyle w:val="Refdenotaalpie"/>
          <w:rFonts w:asciiTheme="minorHAnsi" w:hAnsiTheme="minorHAnsi"/>
        </w:rPr>
        <w:footnoteRef/>
      </w:r>
      <w:r w:rsidRPr="003D0B30">
        <w:rPr>
          <w:rFonts w:asciiTheme="minorHAnsi" w:hAnsiTheme="minorHAnsi"/>
          <w:lang w:val="en-US"/>
        </w:rPr>
        <w:t xml:space="preserve"> GPR: </w:t>
      </w:r>
      <w:r w:rsidRPr="00E667A9">
        <w:rPr>
          <w:rFonts w:asciiTheme="minorHAnsi" w:eastAsiaTheme="minorHAnsi" w:hAnsiTheme="minorHAnsi" w:cs="Calibri"/>
          <w:lang w:val="en-US"/>
        </w:rPr>
        <w:t>Global Power Report</w:t>
      </w:r>
    </w:p>
  </w:footnote>
  <w:footnote w:id="2">
    <w:p w:rsidR="002643A6" w:rsidRPr="003D0B30" w:rsidRDefault="002643A6">
      <w:pPr>
        <w:pStyle w:val="Textonotapie"/>
        <w:rPr>
          <w:rFonts w:asciiTheme="minorHAnsi" w:hAnsiTheme="minorHAnsi"/>
          <w:lang w:val="en-US"/>
        </w:rPr>
      </w:pPr>
      <w:r w:rsidRPr="00E667A9">
        <w:rPr>
          <w:rStyle w:val="Refdenotaalpie"/>
          <w:rFonts w:asciiTheme="minorHAnsi" w:hAnsiTheme="minorHAnsi"/>
        </w:rPr>
        <w:footnoteRef/>
      </w:r>
      <w:r w:rsidRPr="003D0B30">
        <w:rPr>
          <w:rFonts w:asciiTheme="minorHAnsi" w:hAnsiTheme="minorHAnsi"/>
          <w:lang w:val="en-US"/>
        </w:rPr>
        <w:t xml:space="preserve"> EUE: </w:t>
      </w:r>
      <w:r w:rsidRPr="00E667A9">
        <w:rPr>
          <w:rFonts w:asciiTheme="minorHAnsi" w:eastAsiaTheme="minorHAnsi" w:hAnsiTheme="minorHAnsi" w:cs="Calibri"/>
          <w:lang w:val="en-US"/>
        </w:rPr>
        <w:t>European Union Energy</w:t>
      </w:r>
    </w:p>
  </w:footnote>
  <w:footnote w:id="3">
    <w:p w:rsidR="002643A6" w:rsidRPr="00E667A9" w:rsidRDefault="002643A6">
      <w:pPr>
        <w:pStyle w:val="Textonotapie"/>
        <w:rPr>
          <w:rFonts w:asciiTheme="minorHAnsi" w:hAnsiTheme="minorHAnsi"/>
          <w:lang w:val="en-US"/>
        </w:rPr>
      </w:pPr>
      <w:r w:rsidRPr="00E667A9">
        <w:rPr>
          <w:rStyle w:val="Refdenotaalpie"/>
          <w:rFonts w:asciiTheme="minorHAnsi" w:hAnsiTheme="minorHAnsi"/>
        </w:rPr>
        <w:footnoteRef/>
      </w:r>
      <w:r w:rsidRPr="00E667A9">
        <w:rPr>
          <w:rFonts w:asciiTheme="minorHAnsi" w:hAnsiTheme="minorHAnsi"/>
          <w:lang w:val="en-US"/>
        </w:rPr>
        <w:t xml:space="preserve"> PIE: Power In Europe</w:t>
      </w:r>
    </w:p>
  </w:footnote>
  <w:footnote w:id="4">
    <w:p w:rsidR="002643A6" w:rsidRPr="00E667A9" w:rsidRDefault="002643A6">
      <w:pPr>
        <w:pStyle w:val="Textonotapie"/>
        <w:rPr>
          <w:lang w:val="en-US"/>
        </w:rPr>
      </w:pPr>
      <w:r w:rsidRPr="00E667A9">
        <w:rPr>
          <w:rStyle w:val="Refdenotaalpie"/>
          <w:rFonts w:asciiTheme="minorHAnsi" w:hAnsiTheme="minorHAnsi"/>
        </w:rPr>
        <w:footnoteRef/>
      </w:r>
      <w:r w:rsidRPr="00E667A9">
        <w:rPr>
          <w:rFonts w:asciiTheme="minorHAnsi" w:hAnsiTheme="minorHAnsi"/>
          <w:lang w:val="en-US"/>
        </w:rPr>
        <w:t xml:space="preserve"> RER: </w:t>
      </w:r>
      <w:r w:rsidRPr="00E667A9">
        <w:rPr>
          <w:rFonts w:asciiTheme="minorHAnsi" w:eastAsiaTheme="minorHAnsi" w:hAnsiTheme="minorHAnsi" w:cs="Calibri"/>
          <w:lang w:val="en-US"/>
        </w:rPr>
        <w:t>Renewable Energy</w:t>
      </w:r>
      <w:r w:rsidRPr="007D537A">
        <w:rPr>
          <w:rFonts w:asciiTheme="minorHAnsi" w:eastAsiaTheme="minorHAnsi" w:hAnsiTheme="minorHAnsi" w:cs="Calibri"/>
          <w:lang w:val="en-US"/>
        </w:rPr>
        <w:t xml:space="preserve">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F8" w:rsidRDefault="000F69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A6" w:rsidRDefault="002643A6" w:rsidP="006A35D8">
    <w:pPr>
      <w:pStyle w:val="Encabezado"/>
      <w:jc w:val="center"/>
    </w:pPr>
    <w:r>
      <w:rPr>
        <w:noProof/>
        <w:lang w:eastAsia="es-ES"/>
      </w:rPr>
      <w:drawing>
        <wp:inline distT="0" distB="0" distL="0" distR="0">
          <wp:extent cx="1248410" cy="7791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r w:rsidRPr="002D3467">
      <w:rPr>
        <w:rFonts w:ascii="Times New Roman" w:hAnsi="Times New Roman"/>
        <w:snapToGrid w:val="0"/>
        <w:color w:val="000000"/>
        <w:w w:val="0"/>
        <w:sz w:val="0"/>
        <w:szCs w:val="0"/>
        <w:u w:color="000000"/>
        <w:bdr w:val="none" w:sz="0" w:space="0" w:color="000000"/>
        <w:shd w:val="clear" w:color="000000" w:fill="000000"/>
      </w:rPr>
      <w:t xml:space="preserve"> </w:t>
    </w:r>
  </w:p>
  <w:p w:rsidR="002643A6" w:rsidRDefault="002643A6" w:rsidP="006A35D8">
    <w:pPr>
      <w:pStyle w:val="Encabezado"/>
      <w:jc w:val="center"/>
    </w:pPr>
  </w:p>
  <w:p w:rsidR="002643A6" w:rsidRDefault="002643A6" w:rsidP="006A35D8">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F8" w:rsidRDefault="000F69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30D"/>
    <w:multiLevelType w:val="hybridMultilevel"/>
    <w:tmpl w:val="6172DA6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291C75"/>
    <w:multiLevelType w:val="hybridMultilevel"/>
    <w:tmpl w:val="D8DE607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F4035"/>
    <w:multiLevelType w:val="hybridMultilevel"/>
    <w:tmpl w:val="F6ACB86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9001AE"/>
    <w:multiLevelType w:val="hybridMultilevel"/>
    <w:tmpl w:val="E32A66E0"/>
    <w:lvl w:ilvl="0" w:tplc="85F46870">
      <w:start w:val="1"/>
      <w:numFmt w:val="bullet"/>
      <w:pStyle w:val="Sinespaciad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FF5A38"/>
    <w:multiLevelType w:val="hybridMultilevel"/>
    <w:tmpl w:val="C31E083C"/>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83292"/>
    <w:multiLevelType w:val="hybridMultilevel"/>
    <w:tmpl w:val="6AD6FFE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DA2C96"/>
    <w:multiLevelType w:val="hybridMultilevel"/>
    <w:tmpl w:val="4E94D768"/>
    <w:lvl w:ilvl="0" w:tplc="0C0A0005">
      <w:start w:val="1"/>
      <w:numFmt w:val="bullet"/>
      <w:lvlText w:val=""/>
      <w:lvlJc w:val="left"/>
      <w:pPr>
        <w:ind w:left="720" w:hanging="360"/>
      </w:pPr>
      <w:rPr>
        <w:rFonts w:ascii="Wingdings" w:hAnsi="Wingdings" w:hint="default"/>
      </w:rPr>
    </w:lvl>
    <w:lvl w:ilvl="1" w:tplc="4DBA301E">
      <w:numFmt w:val="bullet"/>
      <w:lvlText w:val="•"/>
      <w:lvlJc w:val="left"/>
      <w:pPr>
        <w:ind w:left="1440" w:hanging="360"/>
      </w:pPr>
      <w:rPr>
        <w:rFonts w:ascii="Calibri" w:eastAsiaTheme="minorHAns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E1116B"/>
    <w:multiLevelType w:val="hybridMultilevel"/>
    <w:tmpl w:val="C212E9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7F5767"/>
    <w:multiLevelType w:val="hybridMultilevel"/>
    <w:tmpl w:val="B4E07600"/>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326CC4"/>
    <w:multiLevelType w:val="hybridMultilevel"/>
    <w:tmpl w:val="F00483F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E53CDE"/>
    <w:multiLevelType w:val="hybridMultilevel"/>
    <w:tmpl w:val="B22A97C0"/>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BC54238"/>
    <w:multiLevelType w:val="hybridMultilevel"/>
    <w:tmpl w:val="53869F2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7203AA"/>
    <w:multiLevelType w:val="hybridMultilevel"/>
    <w:tmpl w:val="5C160E6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2"/>
  </w:num>
  <w:num w:numId="6">
    <w:abstractNumId w:val="5"/>
  </w:num>
  <w:num w:numId="7">
    <w:abstractNumId w:val="12"/>
  </w:num>
  <w:num w:numId="8">
    <w:abstractNumId w:val="7"/>
  </w:num>
  <w:num w:numId="9">
    <w:abstractNumId w:val="8"/>
  </w:num>
  <w:num w:numId="10">
    <w:abstractNumId w:val="11"/>
  </w:num>
  <w:num w:numId="11">
    <w:abstractNumId w:val="0"/>
  </w:num>
  <w:num w:numId="12">
    <w:abstractNumId w:val="1"/>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removeDateAndTime/>
  <w:hideSpellingErrors/>
  <w:hideGrammaticalErrors/>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1D037C"/>
    <w:rsid w:val="000111EE"/>
    <w:rsid w:val="000144E0"/>
    <w:rsid w:val="00015188"/>
    <w:rsid w:val="0002147B"/>
    <w:rsid w:val="00024E2D"/>
    <w:rsid w:val="00030844"/>
    <w:rsid w:val="0004383F"/>
    <w:rsid w:val="00044DF7"/>
    <w:rsid w:val="00046DFB"/>
    <w:rsid w:val="00081F85"/>
    <w:rsid w:val="000F69F8"/>
    <w:rsid w:val="0010081F"/>
    <w:rsid w:val="001103F9"/>
    <w:rsid w:val="00120342"/>
    <w:rsid w:val="001440B4"/>
    <w:rsid w:val="001C63F2"/>
    <w:rsid w:val="001C747F"/>
    <w:rsid w:val="001D037C"/>
    <w:rsid w:val="001D2C58"/>
    <w:rsid w:val="001D7BD7"/>
    <w:rsid w:val="001E2AE2"/>
    <w:rsid w:val="001F4CCF"/>
    <w:rsid w:val="002059B7"/>
    <w:rsid w:val="00213F45"/>
    <w:rsid w:val="00216695"/>
    <w:rsid w:val="00235905"/>
    <w:rsid w:val="002643A6"/>
    <w:rsid w:val="00265165"/>
    <w:rsid w:val="00276FDB"/>
    <w:rsid w:val="002909CA"/>
    <w:rsid w:val="00293143"/>
    <w:rsid w:val="00297298"/>
    <w:rsid w:val="002D3467"/>
    <w:rsid w:val="002E1248"/>
    <w:rsid w:val="002E366F"/>
    <w:rsid w:val="002E3C29"/>
    <w:rsid w:val="002E3E8C"/>
    <w:rsid w:val="002E5E34"/>
    <w:rsid w:val="002F67E7"/>
    <w:rsid w:val="00324257"/>
    <w:rsid w:val="00331275"/>
    <w:rsid w:val="0035014B"/>
    <w:rsid w:val="0039498E"/>
    <w:rsid w:val="003953CA"/>
    <w:rsid w:val="003D0B30"/>
    <w:rsid w:val="003F1D3E"/>
    <w:rsid w:val="0042719E"/>
    <w:rsid w:val="004372E7"/>
    <w:rsid w:val="00444984"/>
    <w:rsid w:val="004466D5"/>
    <w:rsid w:val="00451945"/>
    <w:rsid w:val="00460B97"/>
    <w:rsid w:val="00475D38"/>
    <w:rsid w:val="00495563"/>
    <w:rsid w:val="004A375A"/>
    <w:rsid w:val="00506A94"/>
    <w:rsid w:val="005276F6"/>
    <w:rsid w:val="00527934"/>
    <w:rsid w:val="00527B71"/>
    <w:rsid w:val="00550226"/>
    <w:rsid w:val="005B058E"/>
    <w:rsid w:val="005C0907"/>
    <w:rsid w:val="005C0A6B"/>
    <w:rsid w:val="00660838"/>
    <w:rsid w:val="00666A28"/>
    <w:rsid w:val="006759D6"/>
    <w:rsid w:val="00682B5F"/>
    <w:rsid w:val="00686469"/>
    <w:rsid w:val="00691446"/>
    <w:rsid w:val="00695936"/>
    <w:rsid w:val="006A35D8"/>
    <w:rsid w:val="006A3909"/>
    <w:rsid w:val="006C35BA"/>
    <w:rsid w:val="006D2AD3"/>
    <w:rsid w:val="006E1563"/>
    <w:rsid w:val="007066D3"/>
    <w:rsid w:val="00714CF2"/>
    <w:rsid w:val="00741D2E"/>
    <w:rsid w:val="0074756B"/>
    <w:rsid w:val="007478CA"/>
    <w:rsid w:val="007634A1"/>
    <w:rsid w:val="00763821"/>
    <w:rsid w:val="00771CCB"/>
    <w:rsid w:val="007765B4"/>
    <w:rsid w:val="00785A9E"/>
    <w:rsid w:val="007A3BA5"/>
    <w:rsid w:val="007B1B85"/>
    <w:rsid w:val="007B622D"/>
    <w:rsid w:val="007B76C4"/>
    <w:rsid w:val="007E0631"/>
    <w:rsid w:val="007F0C1E"/>
    <w:rsid w:val="007F62B8"/>
    <w:rsid w:val="0082341C"/>
    <w:rsid w:val="0083462B"/>
    <w:rsid w:val="0085069C"/>
    <w:rsid w:val="008C3AD4"/>
    <w:rsid w:val="008C7211"/>
    <w:rsid w:val="008E1F63"/>
    <w:rsid w:val="008E20B9"/>
    <w:rsid w:val="00900D0C"/>
    <w:rsid w:val="00930434"/>
    <w:rsid w:val="009659F9"/>
    <w:rsid w:val="00972A62"/>
    <w:rsid w:val="00973ECD"/>
    <w:rsid w:val="00976C89"/>
    <w:rsid w:val="00982605"/>
    <w:rsid w:val="00991101"/>
    <w:rsid w:val="009A2E80"/>
    <w:rsid w:val="009B5396"/>
    <w:rsid w:val="009F7497"/>
    <w:rsid w:val="00A45DBD"/>
    <w:rsid w:val="00A654E5"/>
    <w:rsid w:val="00A8124D"/>
    <w:rsid w:val="00A85F01"/>
    <w:rsid w:val="00A968D0"/>
    <w:rsid w:val="00AA3F4C"/>
    <w:rsid w:val="00AD1A69"/>
    <w:rsid w:val="00AD45CA"/>
    <w:rsid w:val="00B00F78"/>
    <w:rsid w:val="00B56B66"/>
    <w:rsid w:val="00B6524E"/>
    <w:rsid w:val="00B81346"/>
    <w:rsid w:val="00B9004C"/>
    <w:rsid w:val="00B94E6A"/>
    <w:rsid w:val="00B96C7E"/>
    <w:rsid w:val="00BA15A5"/>
    <w:rsid w:val="00BC28EE"/>
    <w:rsid w:val="00BC49DA"/>
    <w:rsid w:val="00BD0002"/>
    <w:rsid w:val="00BF561A"/>
    <w:rsid w:val="00C101A6"/>
    <w:rsid w:val="00C261BA"/>
    <w:rsid w:val="00C4067E"/>
    <w:rsid w:val="00C45748"/>
    <w:rsid w:val="00C52E86"/>
    <w:rsid w:val="00C63707"/>
    <w:rsid w:val="00C83A97"/>
    <w:rsid w:val="00CA5DCA"/>
    <w:rsid w:val="00CD283F"/>
    <w:rsid w:val="00CF0576"/>
    <w:rsid w:val="00D401EE"/>
    <w:rsid w:val="00D46215"/>
    <w:rsid w:val="00D53DBE"/>
    <w:rsid w:val="00D5626C"/>
    <w:rsid w:val="00D57B0C"/>
    <w:rsid w:val="00D80D14"/>
    <w:rsid w:val="00DC5E6F"/>
    <w:rsid w:val="00DC7678"/>
    <w:rsid w:val="00DE1C65"/>
    <w:rsid w:val="00E05833"/>
    <w:rsid w:val="00E25EB1"/>
    <w:rsid w:val="00E667A9"/>
    <w:rsid w:val="00E720B6"/>
    <w:rsid w:val="00E7599C"/>
    <w:rsid w:val="00E82FE1"/>
    <w:rsid w:val="00E8761C"/>
    <w:rsid w:val="00EB72B7"/>
    <w:rsid w:val="00EC00AA"/>
    <w:rsid w:val="00EC2CFC"/>
    <w:rsid w:val="00EF29AE"/>
    <w:rsid w:val="00F00369"/>
    <w:rsid w:val="00F04C2B"/>
    <w:rsid w:val="00F14997"/>
    <w:rsid w:val="00F3772B"/>
    <w:rsid w:val="00F6092F"/>
    <w:rsid w:val="00F70B21"/>
    <w:rsid w:val="00F70BE9"/>
    <w:rsid w:val="00F7159E"/>
    <w:rsid w:val="00F747F0"/>
    <w:rsid w:val="00FB1C19"/>
    <w:rsid w:val="00FC3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A"/>
    <w:pPr>
      <w:spacing w:after="120"/>
    </w:pPr>
    <w:rPr>
      <w:rFonts w:ascii="Calibri" w:eastAsia="Times New Roman" w:hAnsi="Calibri" w:cs="Times New Roman"/>
      <w:sz w:val="20"/>
    </w:rPr>
  </w:style>
  <w:style w:type="paragraph" w:styleId="Ttulo1">
    <w:name w:val="heading 1"/>
    <w:basedOn w:val="Normal"/>
    <w:next w:val="Normal"/>
    <w:link w:val="Ttulo1Car"/>
    <w:uiPriority w:val="99"/>
    <w:qFormat/>
    <w:rsid w:val="00B9004C"/>
    <w:pPr>
      <w:keepNext/>
      <w:keepLines/>
      <w:pBdr>
        <w:top w:val="single" w:sz="2" w:space="1" w:color="4F81BD"/>
        <w:left w:val="single" w:sz="2" w:space="4" w:color="4F81BD"/>
        <w:bottom w:val="single" w:sz="2" w:space="1" w:color="4F81BD"/>
        <w:right w:val="single" w:sz="2" w:space="4" w:color="4F81BD"/>
      </w:pBdr>
      <w:shd w:val="clear" w:color="auto" w:fill="548DD4" w:themeFill="text2" w:themeFillTint="99"/>
      <w:spacing w:before="480" w:line="360" w:lineRule="auto"/>
      <w:jc w:val="left"/>
      <w:outlineLvl w:val="0"/>
    </w:pPr>
    <w:rPr>
      <w:rFonts w:eastAsiaTheme="majorEastAsia" w:cstheme="majorBidi"/>
      <w:b/>
      <w:bCs/>
      <w:caps/>
      <w:color w:val="FFFFFF" w:themeColor="background1"/>
      <w:sz w:val="22"/>
    </w:rPr>
  </w:style>
  <w:style w:type="paragraph" w:styleId="Ttulo2">
    <w:name w:val="heading 2"/>
    <w:basedOn w:val="Normal"/>
    <w:next w:val="Normal"/>
    <w:link w:val="Ttulo2Car"/>
    <w:uiPriority w:val="99"/>
    <w:unhideWhenUsed/>
    <w:qFormat/>
    <w:rsid w:val="00B9004C"/>
    <w:pPr>
      <w:keepNext/>
      <w:pBdr>
        <w:top w:val="single" w:sz="24" w:space="0" w:color="DBE5F1"/>
        <w:left w:val="single" w:sz="24" w:space="0" w:color="DBE5F1"/>
        <w:bottom w:val="single" w:sz="24" w:space="0" w:color="DBE5F1"/>
        <w:right w:val="single" w:sz="24" w:space="0" w:color="DBE5F1"/>
      </w:pBdr>
      <w:shd w:val="clear" w:color="auto" w:fill="DBE5F1"/>
      <w:spacing w:before="360" w:line="276" w:lineRule="auto"/>
      <w:jc w:val="left"/>
      <w:outlineLvl w:val="1"/>
    </w:pPr>
    <w:rPr>
      <w:rFonts w:cs="Calibri"/>
      <w:caps/>
      <w:spacing w:val="15"/>
      <w:sz w:val="22"/>
    </w:rPr>
  </w:style>
  <w:style w:type="paragraph" w:styleId="Ttulo3">
    <w:name w:val="heading 3"/>
    <w:basedOn w:val="Normal"/>
    <w:next w:val="Normal"/>
    <w:link w:val="Ttulo3Car"/>
    <w:uiPriority w:val="99"/>
    <w:unhideWhenUsed/>
    <w:qFormat/>
    <w:rsid w:val="004372E7"/>
    <w:pPr>
      <w:keepNext/>
      <w:keepLines/>
      <w:spacing w:before="200" w:beforeAutospacing="1" w:afterAutospacing="1" w:line="360" w:lineRule="auto"/>
      <w:jc w:val="left"/>
      <w:outlineLvl w:val="2"/>
    </w:pPr>
    <w:rPr>
      <w:rFonts w:eastAsiaTheme="majorEastAsia" w:cstheme="majorBidi"/>
      <w:b/>
      <w:bCs/>
      <w:i/>
    </w:rPr>
  </w:style>
  <w:style w:type="paragraph" w:styleId="Ttulo4">
    <w:name w:val="heading 4"/>
    <w:basedOn w:val="Normal"/>
    <w:next w:val="Normal"/>
    <w:link w:val="Ttulo4Car"/>
    <w:uiPriority w:val="99"/>
    <w:qFormat/>
    <w:rsid w:val="007B1B85"/>
    <w:pPr>
      <w:keepNext/>
      <w:tabs>
        <w:tab w:val="num" w:pos="864"/>
      </w:tabs>
      <w:spacing w:before="240" w:after="60"/>
      <w:ind w:left="864" w:hanging="864"/>
      <w:outlineLvl w:val="3"/>
    </w:pPr>
    <w:rPr>
      <w:rFonts w:ascii="Arial" w:hAnsi="Arial"/>
      <w:b/>
      <w:sz w:val="24"/>
      <w:szCs w:val="20"/>
      <w:lang w:eastAsia="es-ES"/>
    </w:rPr>
  </w:style>
  <w:style w:type="paragraph" w:styleId="Ttulo5">
    <w:name w:val="heading 5"/>
    <w:basedOn w:val="Normal"/>
    <w:next w:val="Normal"/>
    <w:link w:val="Ttulo5Car"/>
    <w:uiPriority w:val="99"/>
    <w:qFormat/>
    <w:rsid w:val="007B1B85"/>
    <w:pPr>
      <w:tabs>
        <w:tab w:val="num" w:pos="1008"/>
      </w:tabs>
      <w:spacing w:before="240" w:after="60"/>
      <w:ind w:left="1008" w:hanging="1008"/>
      <w:outlineLvl w:val="4"/>
    </w:pPr>
    <w:rPr>
      <w:rFonts w:ascii="Arial" w:hAnsi="Arial"/>
      <w:sz w:val="22"/>
      <w:szCs w:val="20"/>
      <w:lang w:eastAsia="es-ES"/>
    </w:rPr>
  </w:style>
  <w:style w:type="paragraph" w:styleId="Ttulo6">
    <w:name w:val="heading 6"/>
    <w:basedOn w:val="Normal"/>
    <w:next w:val="Normal"/>
    <w:link w:val="Ttulo6Car"/>
    <w:uiPriority w:val="99"/>
    <w:qFormat/>
    <w:rsid w:val="007B1B85"/>
    <w:pPr>
      <w:tabs>
        <w:tab w:val="num" w:pos="1152"/>
      </w:tabs>
      <w:spacing w:before="240" w:after="60"/>
      <w:ind w:left="1152" w:hanging="1152"/>
      <w:outlineLvl w:val="5"/>
    </w:pPr>
    <w:rPr>
      <w:rFonts w:ascii="Times New Roman" w:hAnsi="Times New Roman"/>
      <w:i/>
      <w:sz w:val="22"/>
      <w:szCs w:val="20"/>
      <w:lang w:eastAsia="es-ES"/>
    </w:rPr>
  </w:style>
  <w:style w:type="paragraph" w:styleId="Ttulo7">
    <w:name w:val="heading 7"/>
    <w:basedOn w:val="Normal"/>
    <w:next w:val="Normal"/>
    <w:link w:val="Ttulo7Car"/>
    <w:uiPriority w:val="99"/>
    <w:qFormat/>
    <w:rsid w:val="007B1B85"/>
    <w:pPr>
      <w:tabs>
        <w:tab w:val="num" w:pos="1296"/>
      </w:tabs>
      <w:spacing w:before="240" w:after="60"/>
      <w:ind w:left="1296" w:hanging="1296"/>
      <w:outlineLvl w:val="6"/>
    </w:pPr>
    <w:rPr>
      <w:rFonts w:ascii="Arial" w:hAnsi="Arial"/>
      <w:szCs w:val="20"/>
      <w:lang w:eastAsia="es-ES"/>
    </w:rPr>
  </w:style>
  <w:style w:type="paragraph" w:styleId="Ttulo8">
    <w:name w:val="heading 8"/>
    <w:basedOn w:val="Normal"/>
    <w:next w:val="Normal"/>
    <w:link w:val="Ttulo8Car"/>
    <w:uiPriority w:val="99"/>
    <w:qFormat/>
    <w:rsid w:val="007B1B85"/>
    <w:pPr>
      <w:tabs>
        <w:tab w:val="num" w:pos="1440"/>
      </w:tabs>
      <w:spacing w:before="240" w:after="60"/>
      <w:ind w:left="1440" w:hanging="1440"/>
      <w:outlineLvl w:val="7"/>
    </w:pPr>
    <w:rPr>
      <w:rFonts w:ascii="Arial" w:hAnsi="Arial"/>
      <w:i/>
      <w:szCs w:val="20"/>
      <w:lang w:eastAsia="es-ES"/>
    </w:rPr>
  </w:style>
  <w:style w:type="paragraph" w:styleId="Ttulo9">
    <w:name w:val="heading 9"/>
    <w:basedOn w:val="Normal"/>
    <w:next w:val="Normal"/>
    <w:link w:val="Ttulo9Car"/>
    <w:uiPriority w:val="99"/>
    <w:qFormat/>
    <w:rsid w:val="007B1B85"/>
    <w:pPr>
      <w:tabs>
        <w:tab w:val="num" w:pos="1584"/>
      </w:tabs>
      <w:spacing w:before="240" w:after="60"/>
      <w:ind w:left="1584" w:hanging="1584"/>
      <w:outlineLvl w:val="8"/>
    </w:pPr>
    <w:rPr>
      <w:rFonts w:ascii="Arial" w:hAnsi="Arial"/>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7C"/>
    <w:pPr>
      <w:ind w:left="720"/>
    </w:pPr>
    <w:rPr>
      <w:lang w:eastAsia="es-ES"/>
    </w:rPr>
  </w:style>
  <w:style w:type="character" w:styleId="Hipervnculo">
    <w:name w:val="Hyperlink"/>
    <w:basedOn w:val="Fuentedeprrafopredeter"/>
    <w:uiPriority w:val="99"/>
    <w:rsid w:val="0074756B"/>
    <w:rPr>
      <w:rFonts w:ascii="Times New Roman" w:hAnsi="Times New Roman" w:cs="Times New Roman"/>
      <w:color w:val="0000FF"/>
      <w:u w:val="single"/>
    </w:rPr>
  </w:style>
  <w:style w:type="paragraph" w:styleId="Textodeglobo">
    <w:name w:val="Balloon Text"/>
    <w:basedOn w:val="Normal"/>
    <w:link w:val="TextodegloboCar"/>
    <w:uiPriority w:val="99"/>
    <w:unhideWhenUsed/>
    <w:rsid w:val="002F67E7"/>
    <w:rPr>
      <w:rFonts w:ascii="Tahoma" w:hAnsi="Tahoma" w:cs="Tahoma"/>
      <w:sz w:val="16"/>
      <w:szCs w:val="16"/>
    </w:rPr>
  </w:style>
  <w:style w:type="character" w:customStyle="1" w:styleId="TextodegloboCar">
    <w:name w:val="Texto de globo Car"/>
    <w:basedOn w:val="Fuentedeprrafopredeter"/>
    <w:link w:val="Textodeglobo"/>
    <w:uiPriority w:val="99"/>
    <w:rsid w:val="002F67E7"/>
    <w:rPr>
      <w:rFonts w:ascii="Tahoma" w:eastAsia="Times New Roman" w:hAnsi="Tahoma" w:cs="Tahoma"/>
      <w:sz w:val="16"/>
      <w:szCs w:val="16"/>
    </w:rPr>
  </w:style>
  <w:style w:type="paragraph" w:styleId="Encabezado">
    <w:name w:val="header"/>
    <w:basedOn w:val="Normal"/>
    <w:link w:val="EncabezadoCar"/>
    <w:uiPriority w:val="99"/>
    <w:unhideWhenUsed/>
    <w:rsid w:val="006A35D8"/>
    <w:pPr>
      <w:tabs>
        <w:tab w:val="center" w:pos="4252"/>
        <w:tab w:val="right" w:pos="8504"/>
      </w:tabs>
    </w:pPr>
  </w:style>
  <w:style w:type="character" w:customStyle="1" w:styleId="EncabezadoCar">
    <w:name w:val="Encabezado Car"/>
    <w:basedOn w:val="Fuentedeprrafopredeter"/>
    <w:link w:val="Encabezado"/>
    <w:uiPriority w:val="99"/>
    <w:semiHidden/>
    <w:rsid w:val="006A35D8"/>
    <w:rPr>
      <w:rFonts w:ascii="Calibri" w:eastAsia="Times New Roman" w:hAnsi="Calibri" w:cs="Times New Roman"/>
    </w:rPr>
  </w:style>
  <w:style w:type="paragraph" w:styleId="Piedepgina">
    <w:name w:val="footer"/>
    <w:basedOn w:val="Normal"/>
    <w:link w:val="PiedepginaCar"/>
    <w:uiPriority w:val="99"/>
    <w:unhideWhenUsed/>
    <w:rsid w:val="006A35D8"/>
    <w:pPr>
      <w:tabs>
        <w:tab w:val="center" w:pos="4252"/>
        <w:tab w:val="right" w:pos="8504"/>
      </w:tabs>
    </w:pPr>
  </w:style>
  <w:style w:type="character" w:customStyle="1" w:styleId="PiedepginaCar">
    <w:name w:val="Pie de página Car"/>
    <w:basedOn w:val="Fuentedeprrafopredeter"/>
    <w:link w:val="Piedepgina"/>
    <w:uiPriority w:val="99"/>
    <w:rsid w:val="006A35D8"/>
    <w:rPr>
      <w:rFonts w:ascii="Calibri" w:eastAsia="Times New Roman" w:hAnsi="Calibri" w:cs="Times New Roman"/>
    </w:rPr>
  </w:style>
  <w:style w:type="character" w:customStyle="1" w:styleId="Ttulo3Car">
    <w:name w:val="Título 3 Car"/>
    <w:basedOn w:val="Fuentedeprrafopredeter"/>
    <w:link w:val="Ttulo3"/>
    <w:uiPriority w:val="99"/>
    <w:rsid w:val="004372E7"/>
    <w:rPr>
      <w:rFonts w:ascii="Calibri" w:eastAsiaTheme="majorEastAsia" w:hAnsi="Calibri" w:cstheme="majorBidi"/>
      <w:b/>
      <w:bCs/>
      <w:i/>
      <w:sz w:val="20"/>
    </w:rPr>
  </w:style>
  <w:style w:type="paragraph" w:styleId="Sinespaciado">
    <w:name w:val="No Spacing"/>
    <w:aliases w:val="Viñetas"/>
    <w:uiPriority w:val="1"/>
    <w:qFormat/>
    <w:rsid w:val="008C7211"/>
    <w:pPr>
      <w:numPr>
        <w:numId w:val="1"/>
      </w:numPr>
      <w:spacing w:after="120"/>
    </w:pPr>
    <w:rPr>
      <w:rFonts w:ascii="Calibri" w:eastAsia="Times New Roman" w:hAnsi="Calibri" w:cs="Times New Roman"/>
      <w:sz w:val="20"/>
    </w:rPr>
  </w:style>
  <w:style w:type="character" w:customStyle="1" w:styleId="Ttulo1Car">
    <w:name w:val="Título 1 Car"/>
    <w:basedOn w:val="Fuentedeprrafopredeter"/>
    <w:link w:val="Ttulo1"/>
    <w:uiPriority w:val="99"/>
    <w:rsid w:val="00B9004C"/>
    <w:rPr>
      <w:rFonts w:ascii="Calibri" w:eastAsiaTheme="majorEastAsia" w:hAnsi="Calibri" w:cstheme="majorBidi"/>
      <w:b/>
      <w:bCs/>
      <w:caps/>
      <w:color w:val="FFFFFF" w:themeColor="background1"/>
      <w:shd w:val="clear" w:color="auto" w:fill="548DD4" w:themeFill="text2" w:themeFillTint="99"/>
    </w:rPr>
  </w:style>
  <w:style w:type="character" w:customStyle="1" w:styleId="Ttulo2Car">
    <w:name w:val="Título 2 Car"/>
    <w:basedOn w:val="Fuentedeprrafopredeter"/>
    <w:link w:val="Ttulo2"/>
    <w:uiPriority w:val="99"/>
    <w:rsid w:val="00B9004C"/>
    <w:rPr>
      <w:rFonts w:ascii="Calibri" w:eastAsia="Times New Roman" w:hAnsi="Calibri" w:cs="Calibri"/>
      <w:caps/>
      <w:spacing w:val="15"/>
      <w:shd w:val="clear" w:color="auto" w:fill="DBE5F1"/>
    </w:rPr>
  </w:style>
  <w:style w:type="character" w:styleId="Nmerodepgina">
    <w:name w:val="page number"/>
    <w:basedOn w:val="Fuentedeprrafopredeter"/>
    <w:uiPriority w:val="99"/>
    <w:rsid w:val="00CF0576"/>
  </w:style>
  <w:style w:type="paragraph" w:styleId="Textonotapie">
    <w:name w:val="footnote text"/>
    <w:basedOn w:val="Normal"/>
    <w:link w:val="TextonotapieCar"/>
    <w:uiPriority w:val="99"/>
    <w:semiHidden/>
    <w:rsid w:val="00F747F0"/>
    <w:rPr>
      <w:rFonts w:ascii="Arial" w:hAnsi="Arial"/>
      <w:szCs w:val="20"/>
      <w:lang w:eastAsia="es-ES"/>
    </w:rPr>
  </w:style>
  <w:style w:type="character" w:customStyle="1" w:styleId="TextonotapieCar">
    <w:name w:val="Texto nota pie Car"/>
    <w:basedOn w:val="Fuentedeprrafopredeter"/>
    <w:link w:val="Textonotapie"/>
    <w:uiPriority w:val="99"/>
    <w:semiHidden/>
    <w:rsid w:val="00F747F0"/>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rsid w:val="00F747F0"/>
    <w:rPr>
      <w:vertAlign w:val="superscript"/>
    </w:rPr>
  </w:style>
  <w:style w:type="character" w:customStyle="1" w:styleId="Ttulo4Car">
    <w:name w:val="Título 4 Car"/>
    <w:basedOn w:val="Fuentedeprrafopredeter"/>
    <w:link w:val="Ttulo4"/>
    <w:uiPriority w:val="99"/>
    <w:rsid w:val="007B1B85"/>
    <w:rPr>
      <w:rFonts w:ascii="Arial" w:eastAsia="Times New Roman" w:hAnsi="Arial" w:cs="Times New Roman"/>
      <w:b/>
      <w:sz w:val="24"/>
      <w:szCs w:val="20"/>
      <w:lang w:eastAsia="es-ES"/>
    </w:rPr>
  </w:style>
  <w:style w:type="character" w:customStyle="1" w:styleId="Ttulo5Car">
    <w:name w:val="Título 5 Car"/>
    <w:basedOn w:val="Fuentedeprrafopredeter"/>
    <w:link w:val="Ttulo5"/>
    <w:uiPriority w:val="99"/>
    <w:rsid w:val="007B1B85"/>
    <w:rPr>
      <w:rFonts w:ascii="Arial" w:eastAsia="Times New Roman" w:hAnsi="Arial" w:cs="Times New Roman"/>
      <w:szCs w:val="20"/>
      <w:lang w:eastAsia="es-ES"/>
    </w:rPr>
  </w:style>
  <w:style w:type="character" w:customStyle="1" w:styleId="Ttulo6Car">
    <w:name w:val="Título 6 Car"/>
    <w:basedOn w:val="Fuentedeprrafopredeter"/>
    <w:link w:val="Ttulo6"/>
    <w:uiPriority w:val="99"/>
    <w:rsid w:val="007B1B85"/>
    <w:rPr>
      <w:rFonts w:ascii="Times New Roman" w:eastAsia="Times New Roman" w:hAnsi="Times New Roman" w:cs="Times New Roman"/>
      <w:i/>
      <w:szCs w:val="20"/>
      <w:lang w:eastAsia="es-ES"/>
    </w:rPr>
  </w:style>
  <w:style w:type="character" w:customStyle="1" w:styleId="Ttulo7Car">
    <w:name w:val="Título 7 Car"/>
    <w:basedOn w:val="Fuentedeprrafopredeter"/>
    <w:link w:val="Ttulo7"/>
    <w:uiPriority w:val="99"/>
    <w:rsid w:val="007B1B85"/>
    <w:rPr>
      <w:rFonts w:ascii="Arial" w:eastAsia="Times New Roman" w:hAnsi="Arial" w:cs="Times New Roman"/>
      <w:sz w:val="20"/>
      <w:szCs w:val="20"/>
      <w:lang w:eastAsia="es-ES"/>
    </w:rPr>
  </w:style>
  <w:style w:type="character" w:customStyle="1" w:styleId="Ttulo8Car">
    <w:name w:val="Título 8 Car"/>
    <w:basedOn w:val="Fuentedeprrafopredeter"/>
    <w:link w:val="Ttulo8"/>
    <w:uiPriority w:val="99"/>
    <w:rsid w:val="007B1B85"/>
    <w:rPr>
      <w:rFonts w:ascii="Arial" w:eastAsia="Times New Roman" w:hAnsi="Arial" w:cs="Times New Roman"/>
      <w:i/>
      <w:sz w:val="20"/>
      <w:szCs w:val="20"/>
      <w:lang w:eastAsia="es-ES"/>
    </w:rPr>
  </w:style>
  <w:style w:type="character" w:customStyle="1" w:styleId="Ttulo9Car">
    <w:name w:val="Título 9 Car"/>
    <w:basedOn w:val="Fuentedeprrafopredeter"/>
    <w:link w:val="Ttulo9"/>
    <w:uiPriority w:val="99"/>
    <w:rsid w:val="007B1B85"/>
    <w:rPr>
      <w:rFonts w:ascii="Arial" w:eastAsia="Times New Roman" w:hAnsi="Arial" w:cs="Times New Roman"/>
      <w:b/>
      <w:i/>
      <w:sz w:val="18"/>
      <w:szCs w:val="20"/>
      <w:lang w:eastAsia="es-ES"/>
    </w:rPr>
  </w:style>
  <w:style w:type="paragraph" w:customStyle="1" w:styleId="Negrita">
    <w:name w:val="Negrita"/>
    <w:basedOn w:val="Normal"/>
    <w:uiPriority w:val="99"/>
    <w:rsid w:val="007B1B85"/>
    <w:rPr>
      <w:rFonts w:ascii="TrueOptimaBold" w:hAnsi="TrueOptimaBold"/>
      <w:sz w:val="24"/>
      <w:szCs w:val="20"/>
      <w:lang w:eastAsia="es-ES"/>
    </w:rPr>
  </w:style>
  <w:style w:type="paragraph" w:styleId="TDC1">
    <w:name w:val="toc 1"/>
    <w:basedOn w:val="Normal"/>
    <w:next w:val="Normal"/>
    <w:autoRedefine/>
    <w:uiPriority w:val="99"/>
    <w:semiHidden/>
    <w:rsid w:val="007B1B85"/>
    <w:pPr>
      <w:tabs>
        <w:tab w:val="left" w:pos="482"/>
        <w:tab w:val="right" w:leader="dot" w:pos="8789"/>
      </w:tabs>
      <w:spacing w:before="120" w:after="0"/>
      <w:jc w:val="left"/>
    </w:pPr>
    <w:rPr>
      <w:rFonts w:ascii="TrueOptimaBold" w:hAnsi="TrueOptimaBold"/>
      <w:noProof/>
      <w:sz w:val="24"/>
      <w:szCs w:val="20"/>
      <w:lang w:eastAsia="es-ES"/>
    </w:rPr>
  </w:style>
  <w:style w:type="paragraph" w:styleId="TDC2">
    <w:name w:val="toc 2"/>
    <w:basedOn w:val="Normal"/>
    <w:next w:val="Normal"/>
    <w:autoRedefine/>
    <w:uiPriority w:val="99"/>
    <w:semiHidden/>
    <w:rsid w:val="007B1B85"/>
    <w:pPr>
      <w:tabs>
        <w:tab w:val="right" w:leader="dot" w:pos="8777"/>
      </w:tabs>
      <w:spacing w:after="0"/>
      <w:ind w:left="238" w:right="567"/>
      <w:jc w:val="left"/>
    </w:pPr>
    <w:rPr>
      <w:rFonts w:ascii="Arial" w:hAnsi="Arial"/>
      <w:noProof/>
      <w:szCs w:val="20"/>
      <w:lang w:eastAsia="es-ES"/>
    </w:rPr>
  </w:style>
  <w:style w:type="paragraph" w:styleId="TDC3">
    <w:name w:val="toc 3"/>
    <w:basedOn w:val="Normal"/>
    <w:next w:val="Normal"/>
    <w:autoRedefine/>
    <w:uiPriority w:val="99"/>
    <w:semiHidden/>
    <w:rsid w:val="007B1B85"/>
    <w:pPr>
      <w:tabs>
        <w:tab w:val="left" w:pos="993"/>
        <w:tab w:val="right" w:leader="dot" w:pos="8777"/>
      </w:tabs>
      <w:spacing w:after="0"/>
      <w:ind w:left="482"/>
    </w:pPr>
    <w:rPr>
      <w:rFonts w:ascii="Arial" w:hAnsi="Arial"/>
      <w:noProof/>
      <w:sz w:val="16"/>
      <w:szCs w:val="20"/>
      <w:lang w:eastAsia="es-ES"/>
    </w:rPr>
  </w:style>
  <w:style w:type="paragraph" w:styleId="TDC4">
    <w:name w:val="toc 4"/>
    <w:basedOn w:val="Normal"/>
    <w:next w:val="Normal"/>
    <w:autoRedefine/>
    <w:uiPriority w:val="99"/>
    <w:semiHidden/>
    <w:rsid w:val="007B1B85"/>
    <w:pPr>
      <w:ind w:left="720"/>
    </w:pPr>
    <w:rPr>
      <w:rFonts w:ascii="Arial" w:hAnsi="Arial"/>
      <w:sz w:val="24"/>
      <w:szCs w:val="20"/>
      <w:lang w:eastAsia="es-ES"/>
    </w:rPr>
  </w:style>
  <w:style w:type="paragraph" w:styleId="TDC5">
    <w:name w:val="toc 5"/>
    <w:basedOn w:val="Normal"/>
    <w:next w:val="Normal"/>
    <w:autoRedefine/>
    <w:uiPriority w:val="99"/>
    <w:semiHidden/>
    <w:rsid w:val="007B1B85"/>
    <w:pPr>
      <w:ind w:left="960"/>
    </w:pPr>
    <w:rPr>
      <w:rFonts w:ascii="Arial" w:hAnsi="Arial"/>
      <w:sz w:val="24"/>
      <w:szCs w:val="20"/>
      <w:lang w:eastAsia="es-ES"/>
    </w:rPr>
  </w:style>
  <w:style w:type="paragraph" w:styleId="TDC6">
    <w:name w:val="toc 6"/>
    <w:basedOn w:val="Normal"/>
    <w:next w:val="Normal"/>
    <w:autoRedefine/>
    <w:uiPriority w:val="99"/>
    <w:semiHidden/>
    <w:rsid w:val="007B1B85"/>
    <w:pPr>
      <w:ind w:left="1200"/>
    </w:pPr>
    <w:rPr>
      <w:rFonts w:ascii="Arial" w:hAnsi="Arial"/>
      <w:sz w:val="24"/>
      <w:szCs w:val="20"/>
      <w:lang w:eastAsia="es-ES"/>
    </w:rPr>
  </w:style>
  <w:style w:type="paragraph" w:styleId="TDC7">
    <w:name w:val="toc 7"/>
    <w:basedOn w:val="Normal"/>
    <w:next w:val="Normal"/>
    <w:autoRedefine/>
    <w:uiPriority w:val="99"/>
    <w:semiHidden/>
    <w:rsid w:val="007B1B85"/>
    <w:pPr>
      <w:ind w:left="1440"/>
    </w:pPr>
    <w:rPr>
      <w:rFonts w:ascii="Arial" w:hAnsi="Arial"/>
      <w:sz w:val="24"/>
      <w:szCs w:val="20"/>
      <w:lang w:eastAsia="es-ES"/>
    </w:rPr>
  </w:style>
  <w:style w:type="paragraph" w:styleId="TDC8">
    <w:name w:val="toc 8"/>
    <w:basedOn w:val="Normal"/>
    <w:next w:val="Normal"/>
    <w:autoRedefine/>
    <w:uiPriority w:val="99"/>
    <w:semiHidden/>
    <w:rsid w:val="007B1B85"/>
    <w:pPr>
      <w:ind w:left="1680"/>
    </w:pPr>
    <w:rPr>
      <w:rFonts w:ascii="Arial" w:hAnsi="Arial"/>
      <w:sz w:val="24"/>
      <w:szCs w:val="20"/>
      <w:lang w:eastAsia="es-ES"/>
    </w:rPr>
  </w:style>
  <w:style w:type="paragraph" w:styleId="TDC9">
    <w:name w:val="toc 9"/>
    <w:basedOn w:val="Normal"/>
    <w:next w:val="Normal"/>
    <w:autoRedefine/>
    <w:uiPriority w:val="99"/>
    <w:semiHidden/>
    <w:rsid w:val="007B1B85"/>
    <w:pPr>
      <w:ind w:left="1920"/>
    </w:pPr>
    <w:rPr>
      <w:rFonts w:ascii="Arial" w:hAnsi="Arial"/>
      <w:sz w:val="24"/>
      <w:szCs w:val="20"/>
      <w:lang w:eastAsia="es-ES"/>
    </w:rPr>
  </w:style>
  <w:style w:type="character" w:styleId="Hipervnculovisitado">
    <w:name w:val="FollowedHyperlink"/>
    <w:basedOn w:val="Fuentedeprrafopredeter"/>
    <w:uiPriority w:val="99"/>
    <w:rsid w:val="007B1B85"/>
    <w:rPr>
      <w:rFonts w:cs="Times New Roman"/>
      <w:color w:val="800080"/>
      <w:u w:val="single"/>
    </w:rPr>
  </w:style>
  <w:style w:type="character" w:customStyle="1" w:styleId="content">
    <w:name w:val="content"/>
    <w:basedOn w:val="Fuentedeprrafopredeter"/>
    <w:uiPriority w:val="99"/>
    <w:rsid w:val="007B1B85"/>
    <w:rPr>
      <w:rFonts w:cs="Times New Roman"/>
    </w:rPr>
  </w:style>
  <w:style w:type="paragraph" w:styleId="NormalWeb">
    <w:name w:val="Normal (Web)"/>
    <w:basedOn w:val="Normal"/>
    <w:uiPriority w:val="99"/>
    <w:rsid w:val="007B1B85"/>
    <w:pPr>
      <w:spacing w:before="100" w:beforeAutospacing="1" w:after="100" w:afterAutospacing="1"/>
      <w:jc w:val="left"/>
    </w:pPr>
    <w:rPr>
      <w:rFonts w:ascii="Times New Roman" w:hAnsi="Times New Roman"/>
      <w:sz w:val="24"/>
      <w:szCs w:val="24"/>
      <w:lang w:eastAsia="es-ES"/>
    </w:rPr>
  </w:style>
  <w:style w:type="paragraph" w:customStyle="1" w:styleId="Prrafodelista1">
    <w:name w:val="Párrafo de lista1"/>
    <w:basedOn w:val="Normal"/>
    <w:uiPriority w:val="99"/>
    <w:rsid w:val="007B1B85"/>
    <w:pPr>
      <w:ind w:left="720"/>
      <w:contextualSpacing/>
    </w:pPr>
    <w:rPr>
      <w:rFonts w:ascii="Arial" w:hAnsi="Arial"/>
      <w:sz w:val="24"/>
      <w:szCs w:val="20"/>
      <w:lang w:eastAsia="es-ES"/>
    </w:rPr>
  </w:style>
  <w:style w:type="character" w:customStyle="1" w:styleId="content1">
    <w:name w:val="content1"/>
    <w:basedOn w:val="Fuentedeprrafopredeter"/>
    <w:uiPriority w:val="99"/>
    <w:rsid w:val="007B1B85"/>
    <w:rPr>
      <w:rFonts w:ascii="Georgia" w:hAnsi="Georgia" w:cs="Times New Roman"/>
    </w:rPr>
  </w:style>
  <w:style w:type="character" w:customStyle="1" w:styleId="textheadsev1">
    <w:name w:val="textheadsev1"/>
    <w:basedOn w:val="Fuentedeprrafopredeter"/>
    <w:uiPriority w:val="99"/>
    <w:rsid w:val="007B1B85"/>
    <w:rPr>
      <w:rFonts w:ascii="Arial" w:hAnsi="Arial" w:cs="Arial"/>
      <w:i/>
      <w:iCs/>
      <w:color w:val="333333"/>
    </w:rPr>
  </w:style>
  <w:style w:type="character" w:styleId="Refdecomentario">
    <w:name w:val="annotation reference"/>
    <w:basedOn w:val="Fuentedeprrafopredeter"/>
    <w:uiPriority w:val="99"/>
    <w:rsid w:val="007B1B85"/>
    <w:rPr>
      <w:rFonts w:cs="Times New Roman"/>
      <w:sz w:val="16"/>
      <w:szCs w:val="16"/>
    </w:rPr>
  </w:style>
  <w:style w:type="paragraph" w:styleId="Textocomentario">
    <w:name w:val="annotation text"/>
    <w:basedOn w:val="Normal"/>
    <w:link w:val="TextocomentarioCar"/>
    <w:uiPriority w:val="99"/>
    <w:rsid w:val="007B1B85"/>
    <w:rPr>
      <w:rFonts w:ascii="Arial" w:hAnsi="Arial"/>
      <w:szCs w:val="20"/>
      <w:lang w:eastAsia="es-ES"/>
    </w:rPr>
  </w:style>
  <w:style w:type="character" w:customStyle="1" w:styleId="TextocomentarioCar">
    <w:name w:val="Texto comentario Car"/>
    <w:basedOn w:val="Fuentedeprrafopredeter"/>
    <w:link w:val="Textocomentario"/>
    <w:uiPriority w:val="99"/>
    <w:rsid w:val="007B1B85"/>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rsid w:val="007B1B85"/>
    <w:rPr>
      <w:b/>
      <w:bCs/>
    </w:rPr>
  </w:style>
  <w:style w:type="character" w:customStyle="1" w:styleId="AsuntodelcomentarioCar">
    <w:name w:val="Asunto del comentario Car"/>
    <w:basedOn w:val="TextocomentarioCar"/>
    <w:link w:val="Asuntodelcomentario"/>
    <w:uiPriority w:val="99"/>
    <w:rsid w:val="007B1B85"/>
    <w:rPr>
      <w:b/>
      <w:bCs/>
    </w:rPr>
  </w:style>
  <w:style w:type="paragraph" w:customStyle="1" w:styleId="astandard3420chapeau">
    <w:name w:val="a_standard__34__20_chapeau"/>
    <w:basedOn w:val="Normal"/>
    <w:uiPriority w:val="99"/>
    <w:rsid w:val="007B1B85"/>
    <w:pPr>
      <w:spacing w:before="600" w:after="240"/>
    </w:pPr>
    <w:rPr>
      <w:rFonts w:ascii="Times New Roman" w:hAnsi="Times New Roman"/>
      <w:b/>
      <w:bCs/>
      <w:i/>
      <w:iCs/>
      <w:sz w:val="24"/>
      <w:szCs w:val="24"/>
      <w:lang w:eastAsia="es-ES"/>
    </w:rPr>
  </w:style>
  <w:style w:type="paragraph" w:customStyle="1" w:styleId="a3520normal">
    <w:name w:val="a___35__20_normal"/>
    <w:basedOn w:val="Normal"/>
    <w:uiPriority w:val="99"/>
    <w:rsid w:val="007B1B85"/>
    <w:rPr>
      <w:rFonts w:ascii="Times New Roman" w:hAnsi="Times New Roman"/>
      <w:sz w:val="24"/>
      <w:szCs w:val="24"/>
      <w:lang w:eastAsia="es-ES"/>
    </w:rPr>
  </w:style>
  <w:style w:type="paragraph" w:customStyle="1" w:styleId="atexte201tiret201">
    <w:name w:val="a_texte_20_1_tiret_20_1"/>
    <w:basedOn w:val="Normal"/>
    <w:uiPriority w:val="99"/>
    <w:rsid w:val="007B1B85"/>
    <w:pPr>
      <w:spacing w:after="40"/>
    </w:pPr>
    <w:rPr>
      <w:rFonts w:ascii="Times New Roman" w:hAnsi="Times New Roman"/>
      <w:sz w:val="24"/>
      <w:szCs w:val="24"/>
      <w:lang w:eastAsia="es-ES"/>
    </w:rPr>
  </w:style>
  <w:style w:type="paragraph" w:customStyle="1" w:styleId="a3520normalp3">
    <w:name w:val="a__35__20_normal_p3"/>
    <w:basedOn w:val="Normal"/>
    <w:uiPriority w:val="99"/>
    <w:rsid w:val="007B1B85"/>
    <w:pPr>
      <w:spacing w:before="120"/>
    </w:pPr>
    <w:rPr>
      <w:rFonts w:ascii="Times New Roman" w:hAnsi="Times New Roman"/>
      <w:sz w:val="24"/>
      <w:szCs w:val="24"/>
      <w:lang w:eastAsia="es-ES"/>
    </w:rPr>
  </w:style>
  <w:style w:type="paragraph" w:customStyle="1" w:styleId="atiret201p4">
    <w:name w:val="a_tiret_20_1_p4"/>
    <w:basedOn w:val="Normal"/>
    <w:uiPriority w:val="99"/>
    <w:rsid w:val="007B1B85"/>
    <w:pPr>
      <w:spacing w:after="40"/>
    </w:pPr>
    <w:rPr>
      <w:rFonts w:ascii="Times New Roman" w:hAnsi="Times New Roman"/>
      <w:sz w:val="24"/>
      <w:szCs w:val="24"/>
      <w:lang w:eastAsia="es-ES"/>
    </w:rPr>
  </w:style>
  <w:style w:type="paragraph" w:styleId="Textonotaalfinal">
    <w:name w:val="endnote text"/>
    <w:basedOn w:val="Normal"/>
    <w:link w:val="TextonotaalfinalCar"/>
    <w:uiPriority w:val="99"/>
    <w:rsid w:val="007B1B85"/>
    <w:pPr>
      <w:spacing w:after="0"/>
    </w:pPr>
    <w:rPr>
      <w:rFonts w:ascii="Arial" w:hAnsi="Arial"/>
      <w:szCs w:val="20"/>
      <w:lang w:eastAsia="es-ES"/>
    </w:rPr>
  </w:style>
  <w:style w:type="character" w:customStyle="1" w:styleId="TextonotaalfinalCar">
    <w:name w:val="Texto nota al final Car"/>
    <w:basedOn w:val="Fuentedeprrafopredeter"/>
    <w:link w:val="Textonotaalfinal"/>
    <w:uiPriority w:val="99"/>
    <w:rsid w:val="007B1B85"/>
    <w:rPr>
      <w:rFonts w:ascii="Arial" w:eastAsia="Times New Roman" w:hAnsi="Arial" w:cs="Times New Roman"/>
      <w:sz w:val="20"/>
      <w:szCs w:val="20"/>
      <w:lang w:eastAsia="es-ES"/>
    </w:rPr>
  </w:style>
  <w:style w:type="character" w:styleId="Refdenotaalfinal">
    <w:name w:val="endnote reference"/>
    <w:basedOn w:val="Fuentedeprrafopredeter"/>
    <w:uiPriority w:val="99"/>
    <w:rsid w:val="007B1B85"/>
    <w:rPr>
      <w:rFonts w:cs="Times New Roman"/>
      <w:vertAlign w:val="superscript"/>
    </w:rPr>
  </w:style>
  <w:style w:type="character" w:customStyle="1" w:styleId="mediumtext1">
    <w:name w:val="medium_text1"/>
    <w:basedOn w:val="Fuentedeprrafopredeter"/>
    <w:uiPriority w:val="99"/>
    <w:rsid w:val="007B1B85"/>
    <w:rPr>
      <w:rFonts w:cs="Times New Roman"/>
      <w:sz w:val="22"/>
      <w:szCs w:val="22"/>
    </w:rPr>
  </w:style>
  <w:style w:type="character" w:customStyle="1" w:styleId="longtext1">
    <w:name w:val="long_text1"/>
    <w:basedOn w:val="Fuentedeprrafopredeter"/>
    <w:uiPriority w:val="99"/>
    <w:rsid w:val="007B1B85"/>
    <w:rPr>
      <w:rFonts w:cs="Times New Roman"/>
      <w:sz w:val="18"/>
      <w:szCs w:val="18"/>
    </w:rPr>
  </w:style>
  <w:style w:type="character" w:styleId="nfasis">
    <w:name w:val="Emphasis"/>
    <w:basedOn w:val="Fuentedeprrafopredeter"/>
    <w:uiPriority w:val="20"/>
    <w:qFormat/>
    <w:rsid w:val="007B1B85"/>
    <w:rPr>
      <w:rFonts w:cs="Times New Roman"/>
      <w:b/>
      <w:bCs/>
    </w:rPr>
  </w:style>
  <w:style w:type="character" w:styleId="CitaHTML">
    <w:name w:val="HTML Cite"/>
    <w:basedOn w:val="Fuentedeprrafopredeter"/>
    <w:uiPriority w:val="99"/>
    <w:rsid w:val="007B1B85"/>
    <w:rPr>
      <w:rFonts w:cs="Times New Roman"/>
      <w:i/>
      <w:iCs/>
    </w:rPr>
  </w:style>
  <w:style w:type="character" w:customStyle="1" w:styleId="apple-style-span">
    <w:name w:val="apple-style-span"/>
    <w:basedOn w:val="Fuentedeprrafopredeter"/>
    <w:uiPriority w:val="99"/>
    <w:rsid w:val="007B1B85"/>
    <w:rPr>
      <w:rFonts w:cs="Times New Roman"/>
    </w:rPr>
  </w:style>
  <w:style w:type="character" w:styleId="Textoennegrita">
    <w:name w:val="Strong"/>
    <w:basedOn w:val="Fuentedeprrafopredeter"/>
    <w:uiPriority w:val="22"/>
    <w:qFormat/>
    <w:rsid w:val="007B1B85"/>
    <w:rPr>
      <w:rFonts w:cs="Times New Roman"/>
      <w:b/>
      <w:bCs/>
    </w:rPr>
  </w:style>
  <w:style w:type="paragraph" w:customStyle="1" w:styleId="Default">
    <w:name w:val="Default"/>
    <w:rsid w:val="00C45748"/>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87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blueprint_secure_energy_futur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1684-F8C0-494C-934D-EC131500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7058</Words>
  <Characters>36281</Characters>
  <Application>Microsoft Office Word</Application>
  <DocSecurity>0</DocSecurity>
  <Lines>503</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2011-05-23T08:35:00Z</dcterms:created>
  <dcterms:modified xsi:type="dcterms:W3CDTF">2011-05-23T08:35:00Z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AdHocReviewCycleID">
    <vt:i4>-1601206428</vt:i4>
  </property>
  <property fmtid="{D5CDD505-2E9C-101B-9397-08002B2CF9AE}" pid="4" name="_NewReviewCycle">
    <vt:lpwstr/>
  </property>
</Properties>
</file>