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A8" w:rsidRDefault="00DB45A8" w:rsidP="00DB45A8">
      <w:pPr>
        <w:pStyle w:val="Ttulo1"/>
        <w:pBdr>
          <w:top w:val="single" w:sz="2" w:space="0" w:color="4F81BD"/>
        </w:pBdr>
        <w:tabs>
          <w:tab w:val="left" w:pos="284"/>
        </w:tabs>
      </w:pPr>
      <w:r>
        <w:t>SeGUIMIENTO DE NOTICIAS DE REGULACIÓN INTERNACIONAL</w:t>
      </w:r>
    </w:p>
    <w:p w:rsidR="00DB45A8" w:rsidRPr="00DB45A8" w:rsidRDefault="002156D7" w:rsidP="00DB45A8">
      <w:pPr>
        <w:jc w:val="center"/>
      </w:pPr>
      <w:r>
        <w:t>Julio-agosto</w:t>
      </w:r>
      <w:r w:rsidR="00DB45A8">
        <w:t xml:space="preserve"> 2011</w:t>
      </w:r>
    </w:p>
    <w:p w:rsidR="0083462B" w:rsidRPr="00872B1B" w:rsidRDefault="00872B1B" w:rsidP="00872B1B">
      <w:pPr>
        <w:pStyle w:val="Ttulo2"/>
      </w:pPr>
      <w:r w:rsidRPr="00872B1B">
        <w:t>sumario</w:t>
      </w:r>
      <w:r w:rsidR="006A3909" w:rsidRPr="00872B1B">
        <w:t xml:space="preserve">                                                                                                            </w:t>
      </w:r>
    </w:p>
    <w:p w:rsidR="002156D7" w:rsidRDefault="002156D7" w:rsidP="001816A4">
      <w:pPr>
        <w:keepNext/>
        <w:keepLines/>
        <w:spacing w:before="100" w:beforeAutospacing="1" w:after="100" w:afterAutospacing="1" w:line="276" w:lineRule="auto"/>
        <w:outlineLvl w:val="2"/>
        <w:rPr>
          <w:szCs w:val="20"/>
        </w:rPr>
      </w:pPr>
      <w:r w:rsidRPr="002156D7">
        <w:rPr>
          <w:szCs w:val="20"/>
        </w:rPr>
        <w:t>Se resumen las noticias sobre distintas iniciativas y novedades regulatorias dadas a conocer a lo largo del cuarto bimestre del año 2011. En esta ocasión comentamos las tensiones en el Congreso de los EE.UU. en torno al debate sobre el techo de la deuda y sus consecuencias a corto plazo en las políticas de apoyo a las renovables. Asimismo se aportan algunas pinceladas sobre el proceso de elaboración y debate de los códigos europeos de red liderado desde ACER.</w:t>
      </w:r>
    </w:p>
    <w:p w:rsidR="002156D7" w:rsidRDefault="002156D7" w:rsidP="001816A4">
      <w:pPr>
        <w:keepNext/>
        <w:keepLines/>
        <w:spacing w:before="100" w:beforeAutospacing="1" w:after="100" w:afterAutospacing="1" w:line="276" w:lineRule="auto"/>
        <w:outlineLvl w:val="2"/>
        <w:rPr>
          <w:szCs w:val="20"/>
        </w:rPr>
      </w:pPr>
      <w:r w:rsidRPr="002156D7">
        <w:rPr>
          <w:szCs w:val="20"/>
        </w:rPr>
        <w:t>También se refieren, entre otros aspectos, algunos de los ajustes en los regímenes de apoyo a las renovables en Europa y EE.UU., el debate sobre la “Robin Hood Tax” en Italia y la nueva regulación de la FERC encaminada a facilitar el desarrollo de nuevas redes de transporte mejorando la asignación de los costes de las mismas.</w:t>
      </w:r>
    </w:p>
    <w:p w:rsidR="002156D7" w:rsidRDefault="002156D7" w:rsidP="001816A4">
      <w:pPr>
        <w:keepNext/>
        <w:keepLines/>
        <w:spacing w:before="100" w:beforeAutospacing="1" w:after="100" w:afterAutospacing="1" w:line="276" w:lineRule="auto"/>
        <w:outlineLvl w:val="2"/>
        <w:rPr>
          <w:szCs w:val="20"/>
        </w:rPr>
      </w:pPr>
      <w:r w:rsidRPr="002156D7">
        <w:rPr>
          <w:szCs w:val="20"/>
        </w:rPr>
        <w:t>Por último, se introduce al final de la nota un glosario para comodidad de lectura y mejor comprensión de las abreviaturas y acrónimos empleados.</w:t>
      </w:r>
    </w:p>
    <w:p w:rsidR="00872B1B" w:rsidRPr="00625A13" w:rsidRDefault="00872B1B" w:rsidP="00625A13">
      <w:pPr>
        <w:pStyle w:val="Ttulo2"/>
        <w:rPr>
          <w:rStyle w:val="nfasissutil"/>
          <w:iCs w:val="0"/>
        </w:rPr>
      </w:pPr>
      <w:r w:rsidRPr="00625A13">
        <w:rPr>
          <w:rStyle w:val="nfasissutil"/>
          <w:iCs w:val="0"/>
        </w:rPr>
        <w:t>TEMAS DE FONDO</w:t>
      </w:r>
    </w:p>
    <w:p w:rsidR="00DB45A8" w:rsidRPr="00DB45A8" w:rsidRDefault="002156D7" w:rsidP="00625A13">
      <w:pPr>
        <w:spacing w:before="100" w:beforeAutospacing="1" w:after="100" w:afterAutospacing="1" w:line="276" w:lineRule="auto"/>
        <w:rPr>
          <w:b/>
          <w:i/>
          <w:szCs w:val="20"/>
        </w:rPr>
      </w:pPr>
      <w:r w:rsidRPr="002156D7">
        <w:rPr>
          <w:b/>
          <w:i/>
          <w:szCs w:val="20"/>
        </w:rPr>
        <w:t>Tensiones en</w:t>
      </w:r>
      <w:r>
        <w:rPr>
          <w:b/>
          <w:i/>
          <w:szCs w:val="20"/>
        </w:rPr>
        <w:t xml:space="preserve"> el Congreso y la deuda en EEUU</w:t>
      </w:r>
    </w:p>
    <w:p w:rsidR="002156D7" w:rsidRDefault="002156D7" w:rsidP="002156D7">
      <w:pPr>
        <w:spacing w:before="100" w:beforeAutospacing="1" w:after="100" w:afterAutospacing="1" w:line="276" w:lineRule="auto"/>
      </w:pPr>
      <w:r>
        <w:t>El pasado 31 de julio el presidente Obama cerró un acuerdo con los líderes republicanos y demócratas de las cámaras legislativas que permitió, tras su aprobación parlamentaria el 2 de agosto elevar el techo de la deuda y así evitar la suspensión de pagos de EE.UU. que se hubiera producido de persistir el bloqueo liderado por los representantes republicanos.</w:t>
      </w:r>
    </w:p>
    <w:p w:rsidR="002156D7" w:rsidRPr="001816A4" w:rsidRDefault="002156D7" w:rsidP="002156D7">
      <w:pPr>
        <w:spacing w:before="100" w:beforeAutospacing="1" w:after="100" w:afterAutospacing="1" w:line="276" w:lineRule="auto"/>
        <w:rPr>
          <w:lang w:val="en-US"/>
        </w:rPr>
      </w:pPr>
      <w:r>
        <w:t xml:space="preserve">Dicho acuerdo sitúa el nuevo techo en 14,3 billones de USD, lo que supone del orden de 2,4 billones adicionales y evita la necesidad de requerir nuevas ampliaciones hasta el fin de la presidencia de Obama en 2012. El gobierno se compromete a reducir en cerca de 1 billón USD el gasto en determinados programas gubernamentales y a pactar a través de un comité parlamentario con representación paritaria de ambos partidos, una reducción adicional del gasto de 1,2 billones USD en los próximos 10 años. En el caso de que este comité no alcanzase un acuerdo, se llevaría a cabo una reducción equivalente en todos los programas del gobierno de modo que se pudiera conseguir esa reducción de 1,2 billones USD. La falta de acuerdo (en los que no se excluye abordar reformas fiscales) supondría la aplicación de una reducción por importe equivalente sobre todos los programas del Gobierno, incluyendo gastos de defensa (que soportarían el 50% de los recortes). </w:t>
      </w:r>
      <w:r w:rsidRPr="001816A4">
        <w:rPr>
          <w:lang w:val="en-US"/>
        </w:rPr>
        <w:t xml:space="preserve">(Washington Post, 1/08/11 </w:t>
      </w:r>
      <w:hyperlink r:id="rId8" w:history="1">
        <w:r w:rsidRPr="001816A4">
          <w:rPr>
            <w:rStyle w:val="Hipervnculo"/>
            <w:rFonts w:ascii="Calibri" w:hAnsi="Calibri"/>
            <w:lang w:val="en-US"/>
          </w:rPr>
          <w:t>http://www.washingtonpost.com/wp-srv/special/politics/debt-ceiling/highlights-of-the-deal/index.html</w:t>
        </w:r>
      </w:hyperlink>
      <w:r w:rsidRPr="001816A4">
        <w:rPr>
          <w:lang w:val="en-US"/>
        </w:rPr>
        <w:t>).</w:t>
      </w:r>
    </w:p>
    <w:p w:rsidR="002156D7" w:rsidRDefault="002156D7" w:rsidP="002156D7">
      <w:pPr>
        <w:spacing w:before="100" w:beforeAutospacing="1" w:after="100" w:afterAutospacing="1" w:line="276" w:lineRule="auto"/>
      </w:pPr>
      <w:r>
        <w:t xml:space="preserve">Los acuerdos adoptados en principio no suponen cambios importantes en los beneficios fiscales, incluidos los instrumentos derivados de los programas de apoyo a las renovables. En cualquier caso, en </w:t>
      </w:r>
      <w:r>
        <w:lastRenderedPageBreak/>
        <w:t>la actual situación es complejo adelantar las consecuencias de este acuerdo y su desarrollo sobre el futuro de los esquemas federales de apoyo a las renovables. El actual programa de PTC (Production Tax Credit) expira para las nuevas eólicas el 31/12/12, habiéndose extendido hasta el final del presente año la posibilidad de monetizar los PTC parcialmente de forma inmediata.</w:t>
      </w:r>
    </w:p>
    <w:p w:rsidR="002156D7" w:rsidRDefault="002156D7" w:rsidP="002156D7">
      <w:pPr>
        <w:spacing w:before="100" w:beforeAutospacing="1" w:after="100" w:afterAutospacing="1" w:line="276" w:lineRule="auto"/>
      </w:pPr>
      <w:r>
        <w:t>Por otra parte, la EPA ha publicado el pasado 23 de agosto un paquete de normas sobre las emisiones de las industrias del gas y petróleo, las cuales incluyen los primeros estándares de emisiones de pozos de gas perforados con la técnica de fracturación hidráulica. Sigue activo el debate en las cámaras sobre si la EPA debe regular las emisiones, por lo que habrá que esperar a ver si prospera alguna de las iniciativas propuestas para evitarlo.</w:t>
      </w:r>
    </w:p>
    <w:p w:rsidR="00C87B42" w:rsidRDefault="002156D7" w:rsidP="002156D7">
      <w:pPr>
        <w:spacing w:before="100" w:beforeAutospacing="1" w:after="100" w:afterAutospacing="1" w:line="276" w:lineRule="auto"/>
        <w:rPr>
          <w:b/>
          <w:i/>
          <w:szCs w:val="20"/>
        </w:rPr>
      </w:pPr>
      <w:r w:rsidRPr="002156D7">
        <w:rPr>
          <w:b/>
          <w:i/>
          <w:szCs w:val="20"/>
        </w:rPr>
        <w:t>UE, ACER y los nuevos códigos de red</w:t>
      </w:r>
    </w:p>
    <w:p w:rsidR="002156D7" w:rsidRDefault="002156D7" w:rsidP="001816A4">
      <w:pPr>
        <w:shd w:val="clear" w:color="auto" w:fill="FFFFFF"/>
        <w:spacing w:before="100" w:beforeAutospacing="1" w:after="100" w:afterAutospacing="1" w:line="276" w:lineRule="auto"/>
      </w:pPr>
      <w:r>
        <w:t>A principios del mes de agosto, ACER ha adoptado el marco legal con las pautas necesarias para la asignación de capacidad y la gestión de las congestiones de electricidad, además de los mecanismos de asignación de la capacidad de gas. El tercer paquete energético le proporcionaba a ACER los poderes</w:t>
      </w:r>
      <w:r w:rsidR="00A36347">
        <w:t xml:space="preserve"> </w:t>
      </w:r>
      <w:r w:rsidR="00463D49">
        <w:t>necesarios para</w:t>
      </w:r>
      <w:r>
        <w:t xml:space="preserve"> preparar el marco legal con las pautas sobre un determinado número de materias que deberán ser convertidos en detallados códigos de red por los operadores de transporte de electricidad (Entso-e) y de gas (Entso-g).</w:t>
      </w:r>
    </w:p>
    <w:p w:rsidR="002156D7" w:rsidRDefault="002156D7" w:rsidP="001816A4">
      <w:pPr>
        <w:shd w:val="clear" w:color="auto" w:fill="FFFFFF"/>
        <w:spacing w:before="100" w:beforeAutospacing="1" w:after="100" w:afterAutospacing="1" w:line="276" w:lineRule="auto"/>
      </w:pPr>
      <w:r>
        <w:t>Las pautas para la asignación de capacidad de electricidad y gestión de las congestiones establecen que los códigos de red podrán usar bien el método basado en el flujo (flow-based method, FB), o bien en el método de capacidad de transporte disponible (Available transfer capacity, ATC, para asignar capacidad en cada punto fronterizo. Ambos métodos hacen uso de la “información de localización”, es decir, información relevante sobre las unidades de generación y consumo.</w:t>
      </w:r>
    </w:p>
    <w:p w:rsidR="002156D7" w:rsidRDefault="002156D7" w:rsidP="001816A4">
      <w:pPr>
        <w:shd w:val="clear" w:color="auto" w:fill="FFFFFF"/>
        <w:spacing w:before="100" w:beforeAutospacing="1" w:after="100" w:afterAutospacing="1" w:line="276" w:lineRule="auto"/>
      </w:pPr>
      <w:r>
        <w:t>El método basado en el flujo hace uso de la información de localización en el modelo de red para valorar la seguridad del sistema en la fase de asignación de capacidad de modo que no se asigne capacidad arbitraria en la frontera. De este modo se permite un uso más eficiente de la red. ACER prefiere este método de flujo sobre todo en redes muy malladas y cuando la interdependencia de las interconexiones es alta (por ejemplo, regiones Centro Este y Centro Oeste de Europa). En cambio el método ATC se considera un método de cálculo aceptable para calcular la capacidad a corto plazo, especialmente en redes menos malladas. El ATC es una valoración de la red disponible físicamente para realizar intercambios.</w:t>
      </w:r>
    </w:p>
    <w:p w:rsidR="002156D7" w:rsidRDefault="002156D7" w:rsidP="001816A4">
      <w:pPr>
        <w:shd w:val="clear" w:color="auto" w:fill="FFFFFF"/>
        <w:spacing w:before="100" w:beforeAutospacing="1" w:after="100" w:afterAutospacing="1" w:line="276" w:lineRule="auto"/>
      </w:pPr>
      <w:r>
        <w:t xml:space="preserve">La capacidad asignada estaría sujeta al régimen de </w:t>
      </w:r>
      <w:r w:rsidRPr="00463D49">
        <w:rPr>
          <w:i/>
        </w:rPr>
        <w:t>use it or sell it</w:t>
      </w:r>
      <w:r>
        <w:t xml:space="preserve"> de forma que la parte no nominada en el mercado diario pasaría al mercado spot, volviendo las rentas de dicho comercio a quienes les fue primeramente asignada la capacidad. Para el comercio spot, ACER prefiere subastas implícitas donde el precio de la capacidad transfronteriza se establece por diferencias ente los precios de la energía de los países afectados.</w:t>
      </w:r>
    </w:p>
    <w:p w:rsidR="00C87B42" w:rsidRDefault="002156D7" w:rsidP="001816A4">
      <w:pPr>
        <w:shd w:val="clear" w:color="auto" w:fill="FFFFFF"/>
        <w:spacing w:before="100" w:beforeAutospacing="1" w:after="100" w:afterAutospacing="1" w:line="276" w:lineRule="auto"/>
      </w:pPr>
      <w:r>
        <w:t>Las pautas establecidas por ACER han sido presentadas a la Comisión Europea, que a su vez le ha pedido a Entso-g y Entso-e que desarrollen los códigos de red. Una vez elaborados los reenviarán a ACER quien determinará si están en conformidad con las pautas fijadas y se enviarán para su aprobación a la CE. La CE hará estos códigos obligatorios tras el proceso de comitología que requiere la aprobación por parte de un comité de expertos de los 27 estados de la UE.</w:t>
      </w:r>
      <w:r w:rsidR="001816A4">
        <w:t xml:space="preserve"> </w:t>
      </w:r>
      <w:r>
        <w:t>(EUE 26.08)</w:t>
      </w:r>
      <w:r w:rsidR="00C87B42">
        <w:t>.</w:t>
      </w:r>
    </w:p>
    <w:p w:rsidR="00463D49" w:rsidRDefault="00463D49" w:rsidP="001816A4">
      <w:pPr>
        <w:shd w:val="clear" w:color="auto" w:fill="FFFFFF"/>
        <w:spacing w:before="100" w:beforeAutospacing="1" w:after="100" w:afterAutospacing="1" w:line="276" w:lineRule="auto"/>
      </w:pPr>
    </w:p>
    <w:p w:rsidR="00C87B42" w:rsidRPr="00625A13" w:rsidRDefault="00C87B42" w:rsidP="00C87B42">
      <w:pPr>
        <w:pStyle w:val="Ttulo2"/>
        <w:rPr>
          <w:rStyle w:val="nfasissutil"/>
          <w:iCs w:val="0"/>
        </w:rPr>
      </w:pPr>
      <w:r>
        <w:rPr>
          <w:rStyle w:val="nfasissutil"/>
          <w:iCs w:val="0"/>
        </w:rPr>
        <w:t>otras cuestiones de interés</w:t>
      </w:r>
    </w:p>
    <w:p w:rsidR="00C87B42" w:rsidRDefault="00C87B42" w:rsidP="00C87B42">
      <w:pPr>
        <w:spacing w:before="100" w:beforeAutospacing="1" w:after="100" w:afterAutospacing="1" w:line="276" w:lineRule="auto"/>
        <w:rPr>
          <w:b/>
          <w:i/>
          <w:szCs w:val="20"/>
        </w:rPr>
      </w:pPr>
      <w:r w:rsidRPr="00C87B42">
        <w:rPr>
          <w:b/>
          <w:i/>
          <w:szCs w:val="20"/>
        </w:rPr>
        <w:t>Europa – Energías Renovables, emisiones, eficiencia y otros temas de medio ambiente</w:t>
      </w:r>
    </w:p>
    <w:p w:rsidR="002156D7" w:rsidRPr="002156D7" w:rsidRDefault="002156D7" w:rsidP="001816A4">
      <w:pPr>
        <w:numPr>
          <w:ilvl w:val="0"/>
          <w:numId w:val="29"/>
        </w:numPr>
        <w:spacing w:before="100" w:beforeAutospacing="1" w:line="276" w:lineRule="auto"/>
        <w:ind w:left="284" w:hanging="284"/>
        <w:rPr>
          <w:lang w:val="es-ES_tradnl"/>
        </w:rPr>
      </w:pPr>
      <w:r w:rsidRPr="002156D7">
        <w:rPr>
          <w:b/>
          <w:lang w:val="es-ES_tradnl"/>
        </w:rPr>
        <w:t>El BEI podría comenzar con la venta de créditos de emisiones del NER300 a finales de 2011:</w:t>
      </w:r>
      <w:r w:rsidRPr="002156D7">
        <w:rPr>
          <w:lang w:val="es-ES_tradnl"/>
        </w:rPr>
        <w:t xml:space="preserve"> La UE quiere que</w:t>
      </w:r>
      <w:r w:rsidR="00463D49">
        <w:rPr>
          <w:lang w:val="es-ES_tradnl"/>
        </w:rPr>
        <w:t xml:space="preserve"> la venta de los 300 millones de EUA’s supongan</w:t>
      </w:r>
      <w:r w:rsidRPr="002156D7">
        <w:rPr>
          <w:lang w:val="es-ES_tradnl"/>
        </w:rPr>
        <w:t xml:space="preserve"> entre 4.500 – 9.000 millones de EUR en subsidios que se destinarán para proyectos de CCS y desarrollos innovadores de energías renovables. (EUE 01.07). </w:t>
      </w:r>
    </w:p>
    <w:p w:rsidR="002156D7" w:rsidRPr="002156D7" w:rsidRDefault="002156D7" w:rsidP="001816A4">
      <w:pPr>
        <w:numPr>
          <w:ilvl w:val="0"/>
          <w:numId w:val="29"/>
        </w:numPr>
        <w:spacing w:before="100" w:beforeAutospacing="1" w:line="276" w:lineRule="auto"/>
        <w:ind w:left="284" w:hanging="284"/>
        <w:rPr>
          <w:lang w:val="es-ES_tradnl"/>
        </w:rPr>
      </w:pPr>
      <w:r w:rsidRPr="002156D7">
        <w:rPr>
          <w:b/>
          <w:lang w:val="es-ES_tradnl"/>
        </w:rPr>
        <w:t>Polonia, país que ostenta la presidencia de la UE este semestre, es el único estado miembro que se opone a aumentar el objetivo de reducción de CO2:</w:t>
      </w:r>
      <w:r w:rsidRPr="002156D7">
        <w:rPr>
          <w:lang w:val="es-ES_tradnl"/>
        </w:rPr>
        <w:t xml:space="preserve"> Pese a ello, Gran Bretaña y otros países continuarán trabajando para aumentar el objetivo al 30% para 2020 del 20% inicial. (EUE 01.07). Polonia quiere centrarse más en el objetivo de ‘bajas emisiones’ que de ‘bajo carbono’. El primero incluye medidas de eficiencia energética y mejor uso de la energía y no se centra sólo en el carbón. Los objetivos de Polonia para la presidencia semestral son eficiencia y seguridad energética. (EUE 15.07) </w:t>
      </w:r>
    </w:p>
    <w:p w:rsidR="007066B1" w:rsidRPr="007066B1" w:rsidRDefault="007066B1" w:rsidP="001816A4">
      <w:pPr>
        <w:numPr>
          <w:ilvl w:val="0"/>
          <w:numId w:val="29"/>
        </w:numPr>
        <w:spacing w:before="100" w:beforeAutospacing="1" w:line="276" w:lineRule="auto"/>
        <w:ind w:left="284" w:hanging="284"/>
        <w:rPr>
          <w:lang w:val="es-ES_tradnl"/>
        </w:rPr>
      </w:pPr>
      <w:r w:rsidRPr="007066B1">
        <w:rPr>
          <w:b/>
          <w:lang w:val="es-ES_tradnl"/>
        </w:rPr>
        <w:t xml:space="preserve">Lituania quiere impulsar la eólica y la biomasa para reducir la dependencia del gas ruso, </w:t>
      </w:r>
      <w:r w:rsidRPr="007066B1">
        <w:rPr>
          <w:lang w:val="es-ES_tradnl"/>
        </w:rPr>
        <w:t>mediante la construcción de 500</w:t>
      </w:r>
      <w:r w:rsidR="00463D49">
        <w:rPr>
          <w:lang w:val="es-ES_tradnl"/>
        </w:rPr>
        <w:t xml:space="preserve"> </w:t>
      </w:r>
      <w:r w:rsidRPr="007066B1">
        <w:rPr>
          <w:lang w:val="es-ES_tradnl"/>
        </w:rPr>
        <w:t>MW de eólica para 2020 y un aumento de biomasa para generar calor. Lituania quiere que para 2020 el 60% de la calefacción central use biomasa en vez de gas. Para ello se vigilará el desarrollo de los proyectos y su conexión a la red.</w:t>
      </w:r>
      <w:r w:rsidR="00463D49">
        <w:rPr>
          <w:lang w:val="es-ES_tradnl"/>
        </w:rPr>
        <w:t xml:space="preserve"> </w:t>
      </w:r>
      <w:r w:rsidRPr="007066B1">
        <w:rPr>
          <w:lang w:val="es-ES_tradnl"/>
        </w:rPr>
        <w:t xml:space="preserve">(RER 11.07) </w:t>
      </w:r>
    </w:p>
    <w:p w:rsidR="007066B1" w:rsidRPr="007066B1" w:rsidRDefault="007066B1" w:rsidP="001816A4">
      <w:pPr>
        <w:numPr>
          <w:ilvl w:val="0"/>
          <w:numId w:val="29"/>
        </w:numPr>
        <w:spacing w:before="100" w:beforeAutospacing="1" w:line="276" w:lineRule="auto"/>
        <w:ind w:left="284" w:hanging="284"/>
        <w:rPr>
          <w:lang w:val="es-ES_tradnl"/>
        </w:rPr>
      </w:pPr>
      <w:r w:rsidRPr="007066B1">
        <w:rPr>
          <w:b/>
          <w:lang w:val="es-ES_tradnl"/>
        </w:rPr>
        <w:t xml:space="preserve">Bulgaria comienza a aplicar sus nuevas feed in tariffs ante las quejas de la industria eólica: </w:t>
      </w:r>
      <w:r w:rsidRPr="007066B1">
        <w:rPr>
          <w:lang w:val="es-ES_tradnl"/>
        </w:rPr>
        <w:t>el nuevo sistema, aprobado el pasado 20 de junio empieza a funcionar desde julio. La eólica recibirá la FIT por 12 años. Pese a que las FIT para la eólica (191</w:t>
      </w:r>
      <w:r w:rsidR="00463D49">
        <w:rPr>
          <w:lang w:val="es-ES_tradnl"/>
        </w:rPr>
        <w:t xml:space="preserve"> </w:t>
      </w:r>
      <w:r w:rsidRPr="007066B1">
        <w:rPr>
          <w:lang w:val="es-ES_tradnl"/>
        </w:rPr>
        <w:t>LEV/MWh 2.250</w:t>
      </w:r>
      <w:r w:rsidR="00463D49">
        <w:rPr>
          <w:lang w:val="es-ES_tradnl"/>
        </w:rPr>
        <w:t xml:space="preserve"> </w:t>
      </w:r>
      <w:r w:rsidRPr="007066B1">
        <w:rPr>
          <w:lang w:val="es-ES_tradnl"/>
        </w:rPr>
        <w:t>MWh o menos, 173,06</w:t>
      </w:r>
      <w:r w:rsidR="00463D49">
        <w:rPr>
          <w:lang w:val="es-ES_tradnl"/>
        </w:rPr>
        <w:t xml:space="preserve"> </w:t>
      </w:r>
      <w:r w:rsidRPr="007066B1">
        <w:rPr>
          <w:lang w:val="es-ES_tradnl"/>
        </w:rPr>
        <w:t>LEV/MWh para más de 2.250</w:t>
      </w:r>
      <w:r w:rsidR="00463D49">
        <w:rPr>
          <w:lang w:val="es-ES_tradnl"/>
        </w:rPr>
        <w:t xml:space="preserve"> </w:t>
      </w:r>
      <w:r w:rsidRPr="007066B1">
        <w:rPr>
          <w:lang w:val="es-ES_tradnl"/>
        </w:rPr>
        <w:t xml:space="preserve">MWh) son mayores que las existentes en abril, los promotores se quejan de sólo conocen la cifra de FIT una vez terminada la construcción del parque. (RER 25.07) </w:t>
      </w:r>
    </w:p>
    <w:p w:rsidR="007066B1" w:rsidRPr="007066B1" w:rsidRDefault="007066B1" w:rsidP="001816A4">
      <w:pPr>
        <w:numPr>
          <w:ilvl w:val="0"/>
          <w:numId w:val="29"/>
        </w:numPr>
        <w:spacing w:before="100" w:beforeAutospacing="1" w:line="276" w:lineRule="auto"/>
        <w:ind w:left="284" w:hanging="284"/>
        <w:rPr>
          <w:lang w:val="es-ES_tradnl"/>
        </w:rPr>
      </w:pPr>
      <w:r w:rsidRPr="007066B1">
        <w:rPr>
          <w:b/>
          <w:lang w:val="es-ES_tradnl"/>
        </w:rPr>
        <w:t xml:space="preserve">La CE aprueba el esquema de certificados verdes de Rumanía. </w:t>
      </w:r>
      <w:r w:rsidRPr="007066B1">
        <w:rPr>
          <w:lang w:val="es-ES_tradnl"/>
        </w:rPr>
        <w:t xml:space="preserve">Rumanía tiene un objetivo de renovables del 24% de la energía final para 2020. Este esquema concede certificados verdes a los productores por cada MWh producido con eólica, hidráulica, solar, biomasa o residuos. Estos certificados se pueden comercializar en el mercado y los suministradores están obligados a comprar un determinado número al año. (EUE 29.07) </w:t>
      </w:r>
    </w:p>
    <w:p w:rsidR="007066B1" w:rsidRPr="007066B1" w:rsidRDefault="007066B1" w:rsidP="001816A4">
      <w:pPr>
        <w:numPr>
          <w:ilvl w:val="0"/>
          <w:numId w:val="29"/>
        </w:numPr>
        <w:spacing w:before="100" w:beforeAutospacing="1" w:line="276" w:lineRule="auto"/>
        <w:ind w:left="284" w:hanging="284"/>
        <w:rPr>
          <w:lang w:val="es-ES_tradnl"/>
        </w:rPr>
      </w:pPr>
      <w:r w:rsidRPr="007066B1">
        <w:rPr>
          <w:b/>
          <w:lang w:val="es-ES_tradnl"/>
        </w:rPr>
        <w:t xml:space="preserve">El Gobierno portugués se esfuerza para alcanzar un consenso con los productores de eólica. </w:t>
      </w:r>
      <w:r w:rsidRPr="007066B1">
        <w:rPr>
          <w:lang w:val="es-ES_tradnl"/>
        </w:rPr>
        <w:t xml:space="preserve">Tras el acuerdo de rescate de Portugal, este deberá reducir sus gastos por lo que es necesario un pacto con la industria para que no empeore la situación de los inversores ni se aumenten las tarifas de electricidad para los consumidores. (PIE 08.08)(EUE 26.08) </w:t>
      </w:r>
    </w:p>
    <w:p w:rsidR="007066B1" w:rsidRPr="007066B1" w:rsidRDefault="007066B1" w:rsidP="001816A4">
      <w:pPr>
        <w:numPr>
          <w:ilvl w:val="0"/>
          <w:numId w:val="29"/>
        </w:numPr>
        <w:spacing w:before="100" w:beforeAutospacing="1" w:line="276" w:lineRule="auto"/>
        <w:ind w:left="284" w:hanging="284"/>
        <w:rPr>
          <w:lang w:val="es-ES_tradnl"/>
        </w:rPr>
      </w:pPr>
      <w:r w:rsidRPr="007066B1">
        <w:rPr>
          <w:b/>
          <w:lang w:val="es-ES_tradnl"/>
        </w:rPr>
        <w:t xml:space="preserve">Noruega y Suecia firman un acuerdo para la puesta en marcha del mercado conjunto de certificados eléctricos (certificados verdes), </w:t>
      </w:r>
      <w:r w:rsidRPr="007066B1">
        <w:rPr>
          <w:lang w:val="es-ES_tradnl"/>
        </w:rPr>
        <w:t>lo cual permitirá su puesta en marcha en la fecha prevista de enero de 2012. El mercado de certificados servirá para que en 2020 ambos pa</w:t>
      </w:r>
      <w:r w:rsidR="00332F1B">
        <w:rPr>
          <w:lang w:val="es-ES_tradnl"/>
        </w:rPr>
        <w:t>íses alcancen un objetivo de 26,</w:t>
      </w:r>
      <w:r w:rsidRPr="007066B1">
        <w:rPr>
          <w:lang w:val="es-ES_tradnl"/>
        </w:rPr>
        <w:t>4</w:t>
      </w:r>
      <w:r w:rsidR="00463D49">
        <w:rPr>
          <w:lang w:val="es-ES_tradnl"/>
        </w:rPr>
        <w:t xml:space="preserve"> </w:t>
      </w:r>
      <w:r w:rsidRPr="007066B1">
        <w:rPr>
          <w:lang w:val="es-ES_tradnl"/>
        </w:rPr>
        <w:t>TWh de renovables. (PIE 11.07)</w:t>
      </w:r>
      <w:r w:rsidR="00463D49">
        <w:rPr>
          <w:lang w:val="es-ES_tradnl"/>
        </w:rPr>
        <w:t xml:space="preserve"> y </w:t>
      </w:r>
      <w:r w:rsidRPr="007066B1">
        <w:rPr>
          <w:lang w:val="es-ES_tradnl"/>
        </w:rPr>
        <w:t xml:space="preserve">(RER 11.07). </w:t>
      </w:r>
    </w:p>
    <w:p w:rsidR="007066B1" w:rsidRPr="007066B1" w:rsidRDefault="007066B1" w:rsidP="001816A4">
      <w:pPr>
        <w:numPr>
          <w:ilvl w:val="0"/>
          <w:numId w:val="29"/>
        </w:numPr>
        <w:spacing w:before="100" w:beforeAutospacing="1" w:line="276" w:lineRule="auto"/>
        <w:ind w:left="284" w:hanging="284"/>
        <w:rPr>
          <w:lang w:val="es-ES_tradnl"/>
        </w:rPr>
      </w:pPr>
      <w:r w:rsidRPr="007066B1">
        <w:rPr>
          <w:b/>
          <w:lang w:val="es-ES_tradnl"/>
        </w:rPr>
        <w:t xml:space="preserve">Luxemburgo anuncia su hoja de ruta de renovables (NREAP) para 2020, en la cual quiere doblar su capacidad eólica y triplicar la de biogás para cumplir con el objetivo de renovables </w:t>
      </w:r>
      <w:r w:rsidRPr="007066B1">
        <w:rPr>
          <w:lang w:val="es-ES_tradnl"/>
        </w:rPr>
        <w:t>del 11% del consumo energético total. El biogás es una importante fuente de renovables en Luxemburgo y se quiere pasar de 53</w:t>
      </w:r>
      <w:r w:rsidR="00463D49">
        <w:rPr>
          <w:lang w:val="es-ES_tradnl"/>
        </w:rPr>
        <w:t xml:space="preserve"> </w:t>
      </w:r>
      <w:r w:rsidRPr="007066B1">
        <w:rPr>
          <w:lang w:val="es-ES_tradnl"/>
        </w:rPr>
        <w:t>GWh/año a 144</w:t>
      </w:r>
      <w:r w:rsidR="00463D49">
        <w:rPr>
          <w:lang w:val="es-ES_tradnl"/>
        </w:rPr>
        <w:t xml:space="preserve"> </w:t>
      </w:r>
      <w:r w:rsidRPr="007066B1">
        <w:rPr>
          <w:lang w:val="es-ES_tradnl"/>
        </w:rPr>
        <w:t>GWh en 2020. (PIE 11.07)</w:t>
      </w:r>
      <w:r w:rsidR="00463D49">
        <w:rPr>
          <w:lang w:val="es-ES_tradnl"/>
        </w:rPr>
        <w:t>.</w:t>
      </w:r>
      <w:r w:rsidRPr="007066B1">
        <w:rPr>
          <w:lang w:val="es-ES_tradnl"/>
        </w:rPr>
        <w:t xml:space="preserve"> El NREAP pone el principal énfasis en </w:t>
      </w:r>
      <w:r w:rsidRPr="007066B1">
        <w:rPr>
          <w:lang w:val="es-ES_tradnl"/>
        </w:rPr>
        <w:lastRenderedPageBreak/>
        <w:t xml:space="preserve">el desarrollo de la biomasa y eólica aunque destaca la necesidad de desarrollar las redes así como la limitación de terrenos disponibles para biocombustibles. (RER 08.08) </w:t>
      </w:r>
    </w:p>
    <w:p w:rsidR="007066B1" w:rsidRPr="007066B1" w:rsidRDefault="007066B1" w:rsidP="001816A4">
      <w:pPr>
        <w:numPr>
          <w:ilvl w:val="0"/>
          <w:numId w:val="29"/>
        </w:numPr>
        <w:spacing w:before="100" w:beforeAutospacing="1" w:line="276" w:lineRule="auto"/>
        <w:ind w:left="284" w:hanging="284"/>
        <w:rPr>
          <w:lang w:val="es-ES_tradnl"/>
        </w:rPr>
      </w:pPr>
      <w:r w:rsidRPr="007066B1">
        <w:rPr>
          <w:b/>
          <w:lang w:val="es-ES_tradnl"/>
        </w:rPr>
        <w:t xml:space="preserve">Tras la pérdida de la mitad de capacidad instalada, Chipre se orienta por las renovables: </w:t>
      </w:r>
      <w:r w:rsidRPr="007066B1">
        <w:rPr>
          <w:lang w:val="es-ES_tradnl"/>
        </w:rPr>
        <w:t>el accidente que ha dejado inutilizada la central de Vassilikou (que suponía la mitad de capacidad instalada del país, con 767</w:t>
      </w:r>
      <w:r w:rsidR="00463D49">
        <w:rPr>
          <w:lang w:val="es-ES_tradnl"/>
        </w:rPr>
        <w:t xml:space="preserve"> </w:t>
      </w:r>
      <w:r w:rsidRPr="007066B1">
        <w:rPr>
          <w:lang w:val="es-ES_tradnl"/>
        </w:rPr>
        <w:t xml:space="preserve">MW) está sirviendo par que el gobierno acelere la instalación de renovables, como con la instalación de solar fotovoltaica en hogares y la construcción de parques eólicos. La actual falta de suministro servirá de incentivo al desarrollo de las renovables. (RER 08.08) </w:t>
      </w:r>
    </w:p>
    <w:p w:rsidR="007066B1" w:rsidRPr="007066B1" w:rsidRDefault="00C87B42" w:rsidP="007066B1">
      <w:pPr>
        <w:spacing w:before="100" w:beforeAutospacing="1" w:after="100" w:afterAutospacing="1" w:line="276" w:lineRule="auto"/>
        <w:rPr>
          <w:b/>
          <w:i/>
          <w:szCs w:val="20"/>
        </w:rPr>
      </w:pPr>
      <w:r w:rsidRPr="00C87B42">
        <w:rPr>
          <w:b/>
          <w:i/>
          <w:szCs w:val="20"/>
        </w:rPr>
        <w:t xml:space="preserve">Europa – </w:t>
      </w:r>
      <w:r w:rsidR="007066B1">
        <w:rPr>
          <w:b/>
          <w:i/>
          <w:szCs w:val="20"/>
        </w:rPr>
        <w:t>Regulación y legislación</w:t>
      </w:r>
    </w:p>
    <w:p w:rsidR="007066B1" w:rsidRPr="007066B1" w:rsidRDefault="007066B1" w:rsidP="001816A4">
      <w:pPr>
        <w:numPr>
          <w:ilvl w:val="0"/>
          <w:numId w:val="30"/>
        </w:numPr>
        <w:spacing w:before="100" w:beforeAutospacing="1" w:line="276" w:lineRule="auto"/>
        <w:ind w:left="284" w:hanging="284"/>
        <w:rPr>
          <w:lang w:val="es-ES_tradnl"/>
        </w:rPr>
      </w:pPr>
      <w:r w:rsidRPr="007066B1">
        <w:rPr>
          <w:b/>
          <w:lang w:val="es-ES_tradnl"/>
        </w:rPr>
        <w:t xml:space="preserve">El Gobierno italiano ha propuesto aumentar la tasa sobre la generación, distribución y transporte de electricidad, </w:t>
      </w:r>
      <w:r w:rsidRPr="007066B1">
        <w:rPr>
          <w:lang w:val="es-ES_tradnl"/>
        </w:rPr>
        <w:t>de este modo pasaría del 6,5% al 10,5%. Su impacto se limitaría a 3 años, y no afectaría a los clientes finales. El borrador de la propuesta debería aprobarse a finales de agosto. (JP Morgan, 23.08). Según el operador de la red de transporte italiano Snam, la modificación de esta tasa (Robin Hood) costaría unos 150 millones EUR al año. La deberán pagar compañías con ingresos superiores a 10 millones EUR. El origen de la Tasa Robin se produjo en 2008 con el objetivo de tasar los ingresos extras de las compañías petroleras cuando el barril de petróleo alcanzó los 147</w:t>
      </w:r>
      <w:r w:rsidR="00463D49">
        <w:rPr>
          <w:lang w:val="es-ES_tradnl"/>
        </w:rPr>
        <w:t xml:space="preserve"> </w:t>
      </w:r>
      <w:r w:rsidRPr="007066B1">
        <w:rPr>
          <w:lang w:val="es-ES_tradnl"/>
        </w:rPr>
        <w:t>USD. (EUE 26.08). Finalmente se ha decidido que la tasa será del 6,5% y no afectará a las renovables aunque hay que esperar a su aprobación en decreto ley.</w:t>
      </w:r>
      <w:r w:rsidR="00463D49">
        <w:rPr>
          <w:lang w:val="es-ES_tradnl"/>
        </w:rPr>
        <w:t xml:space="preserve"> </w:t>
      </w:r>
      <w:r w:rsidRPr="007066B1">
        <w:rPr>
          <w:lang w:val="es-ES_tradnl"/>
        </w:rPr>
        <w:t>(JP Morgan 29.08).</w:t>
      </w:r>
      <w:r w:rsidR="00463D49">
        <w:rPr>
          <w:lang w:val="es-ES_tradnl"/>
        </w:rPr>
        <w:t xml:space="preserve"> </w:t>
      </w:r>
      <w:r w:rsidRPr="007066B1">
        <w:rPr>
          <w:lang w:val="es-ES_tradnl"/>
        </w:rPr>
        <w:t>El regulador AEEG se opone a la propuesta al considerar que la tasa no debe aplicarse a acti</w:t>
      </w:r>
      <w:r w:rsidR="00463D49">
        <w:rPr>
          <w:lang w:val="es-ES_tradnl"/>
        </w:rPr>
        <w:t>vidades reguladas. (AEGG,26.08).</w:t>
      </w:r>
    </w:p>
    <w:p w:rsidR="007066B1" w:rsidRPr="007066B1" w:rsidRDefault="007066B1" w:rsidP="001816A4">
      <w:pPr>
        <w:numPr>
          <w:ilvl w:val="0"/>
          <w:numId w:val="30"/>
        </w:numPr>
        <w:spacing w:before="100" w:beforeAutospacing="1" w:line="276" w:lineRule="auto"/>
        <w:ind w:left="284" w:hanging="284"/>
        <w:rPr>
          <w:lang w:val="es-ES_tradnl"/>
        </w:rPr>
      </w:pPr>
      <w:r w:rsidRPr="007066B1">
        <w:rPr>
          <w:b/>
          <w:lang w:val="es-ES_tradnl"/>
        </w:rPr>
        <w:t xml:space="preserve">Italia instaurará un sistema de pagos por capacidad a partir de 2017, el cual será determinado por Terna. </w:t>
      </w:r>
      <w:r w:rsidRPr="007066B1">
        <w:rPr>
          <w:lang w:val="es-ES_tradnl"/>
        </w:rPr>
        <w:t>Con este sistema Terna realizará subastas de capacidad con 4 años de antelación y los pagos dependerán de si la energía es usada en el mercado diario o en el mercado de servicios complementarios. (Se pueden leer más detalles en la nota elaborada por la dirección de regulación).</w:t>
      </w:r>
      <w:r w:rsidR="00525C5D">
        <w:rPr>
          <w:lang w:val="es-ES_tradnl"/>
        </w:rPr>
        <w:t xml:space="preserve"> </w:t>
      </w:r>
      <w:r w:rsidRPr="007066B1">
        <w:rPr>
          <w:lang w:val="es-ES_tradnl"/>
        </w:rPr>
        <w:t xml:space="preserve">(EUE 29.07) </w:t>
      </w:r>
    </w:p>
    <w:p w:rsidR="007066B1" w:rsidRPr="007066B1" w:rsidRDefault="007066B1" w:rsidP="001816A4">
      <w:pPr>
        <w:numPr>
          <w:ilvl w:val="0"/>
          <w:numId w:val="30"/>
        </w:numPr>
        <w:spacing w:before="100" w:beforeAutospacing="1" w:line="276" w:lineRule="auto"/>
        <w:ind w:left="284" w:hanging="284"/>
        <w:rPr>
          <w:b/>
          <w:lang w:val="es-ES_tradnl"/>
        </w:rPr>
      </w:pPr>
      <w:r w:rsidRPr="007066B1">
        <w:rPr>
          <w:b/>
          <w:lang w:val="es-ES_tradnl"/>
        </w:rPr>
        <w:t xml:space="preserve">Polonia modifica la ley de la energía para incluir a POEE WSE Energy Market en la venta obligatoria de energía: </w:t>
      </w:r>
      <w:r w:rsidRPr="007066B1">
        <w:rPr>
          <w:lang w:val="es-ES_tradnl"/>
        </w:rPr>
        <w:t>en agosto del año pasado se modificó la ley de la energía la cual obligaba a que los generadores debían vender el 15% de su energía anual en un mercado regulado. Hasta la fecha el único mercado regulado era POLPX, pero desde julio se ha incluido a POEE con el objetivo de aumentar la liquidez en el mercado. (EUE 29.07)</w:t>
      </w:r>
      <w:r w:rsidRPr="007066B1">
        <w:rPr>
          <w:b/>
          <w:lang w:val="es-ES_tradnl"/>
        </w:rPr>
        <w:t xml:space="preserve"> </w:t>
      </w:r>
    </w:p>
    <w:p w:rsidR="007066B1" w:rsidRPr="00C87B42" w:rsidRDefault="007066B1" w:rsidP="007066B1">
      <w:pPr>
        <w:spacing w:before="100" w:beforeAutospacing="1" w:after="100" w:afterAutospacing="1" w:line="276" w:lineRule="auto"/>
        <w:rPr>
          <w:b/>
          <w:i/>
          <w:szCs w:val="20"/>
        </w:rPr>
      </w:pPr>
      <w:r w:rsidRPr="00C87B42">
        <w:rPr>
          <w:b/>
          <w:i/>
          <w:szCs w:val="20"/>
        </w:rPr>
        <w:t>Europa –</w:t>
      </w:r>
      <w:r>
        <w:rPr>
          <w:b/>
          <w:i/>
          <w:szCs w:val="20"/>
        </w:rPr>
        <w:t>Tarifas, precios y protección al consumidor</w:t>
      </w:r>
    </w:p>
    <w:p w:rsidR="007066B1" w:rsidRPr="007066B1" w:rsidRDefault="007066B1" w:rsidP="001816A4">
      <w:pPr>
        <w:numPr>
          <w:ilvl w:val="0"/>
          <w:numId w:val="31"/>
        </w:numPr>
        <w:spacing w:before="100" w:beforeAutospacing="1" w:line="276" w:lineRule="auto"/>
        <w:ind w:left="284" w:hanging="284"/>
        <w:rPr>
          <w:lang w:val="es-ES_tradnl"/>
        </w:rPr>
      </w:pPr>
      <w:r w:rsidRPr="007066B1">
        <w:rPr>
          <w:b/>
          <w:lang w:val="es-ES_tradnl"/>
        </w:rPr>
        <w:t xml:space="preserve">El regulador checo avisa de una subida de precios del 10% para 2012, </w:t>
      </w:r>
      <w:r w:rsidRPr="007066B1">
        <w:rPr>
          <w:lang w:val="es-ES_tradnl"/>
        </w:rPr>
        <w:t>debido fundamentalmente al coste de renovables que estima producirá una subida de 28,26</w:t>
      </w:r>
      <w:r w:rsidR="00525C5D">
        <w:rPr>
          <w:lang w:val="es-ES_tradnl"/>
        </w:rPr>
        <w:t xml:space="preserve"> </w:t>
      </w:r>
      <w:r w:rsidRPr="007066B1">
        <w:rPr>
          <w:lang w:val="es-ES_tradnl"/>
        </w:rPr>
        <w:t>EUR/MWh, lo cual se traduciría en una subida de 9,7% para hogares y de 13,9% para industriales. (EUE 15.07)</w:t>
      </w:r>
    </w:p>
    <w:p w:rsidR="007066B1" w:rsidRPr="007066B1" w:rsidRDefault="007066B1" w:rsidP="001816A4">
      <w:pPr>
        <w:numPr>
          <w:ilvl w:val="0"/>
          <w:numId w:val="31"/>
        </w:numPr>
        <w:spacing w:before="100" w:beforeAutospacing="1" w:line="276" w:lineRule="auto"/>
        <w:ind w:left="284" w:hanging="284"/>
        <w:rPr>
          <w:lang w:val="es-ES_tradnl"/>
        </w:rPr>
      </w:pPr>
      <w:r w:rsidRPr="007066B1">
        <w:rPr>
          <w:b/>
          <w:lang w:val="es-ES_tradnl"/>
        </w:rPr>
        <w:t xml:space="preserve">Los hogares en ‘pobreza energética’ ascienden a 5,5 millones en Gran Bretaña, </w:t>
      </w:r>
      <w:r w:rsidRPr="007066B1">
        <w:rPr>
          <w:lang w:val="es-ES_tradnl"/>
        </w:rPr>
        <w:t>tendencia que continúa al alza puesto que en 2004 eran 2 millones de hogares y en 2008 alcanzó a 4,5 millones. Esta cifra puede empeorar con la reforma del mercado que prevé en 2030 subidas en las facturas de 181</w:t>
      </w:r>
      <w:r w:rsidR="00525C5D">
        <w:rPr>
          <w:lang w:val="es-ES_tradnl"/>
        </w:rPr>
        <w:t xml:space="preserve"> </w:t>
      </w:r>
      <w:r w:rsidRPr="007066B1">
        <w:rPr>
          <w:lang w:val="es-ES_tradnl"/>
        </w:rPr>
        <w:t>EUR/año de media para los hogares. (EUE 29.07)</w:t>
      </w:r>
    </w:p>
    <w:p w:rsidR="007066B1" w:rsidRPr="007066B1" w:rsidRDefault="007066B1" w:rsidP="001816A4">
      <w:pPr>
        <w:numPr>
          <w:ilvl w:val="0"/>
          <w:numId w:val="31"/>
        </w:numPr>
        <w:spacing w:before="100" w:beforeAutospacing="1" w:line="276" w:lineRule="auto"/>
        <w:ind w:left="284" w:hanging="284"/>
        <w:rPr>
          <w:lang w:val="es-ES_tradnl"/>
        </w:rPr>
      </w:pPr>
      <w:r w:rsidRPr="007066B1">
        <w:rPr>
          <w:b/>
          <w:lang w:val="es-ES_tradnl"/>
        </w:rPr>
        <w:t xml:space="preserve">El gobierno portugués prevé una subida del IVA del gas y electricidad del 6% al 23%. </w:t>
      </w:r>
      <w:r w:rsidRPr="007066B1">
        <w:rPr>
          <w:lang w:val="es-ES_tradnl"/>
        </w:rPr>
        <w:t>Esta subida tendrá lugar en octubre con lo que la energía dejará de estar gravada al tipo mínimo que se aplica a alimentación y otras necesidades básicas. (EUE 26.08)</w:t>
      </w:r>
    </w:p>
    <w:p w:rsidR="007066B1" w:rsidRPr="007066B1" w:rsidRDefault="00C87B42" w:rsidP="007066B1">
      <w:pPr>
        <w:spacing w:before="100" w:beforeAutospacing="1" w:after="100" w:afterAutospacing="1" w:line="276" w:lineRule="auto"/>
        <w:rPr>
          <w:b/>
          <w:i/>
          <w:szCs w:val="20"/>
        </w:rPr>
      </w:pPr>
      <w:r w:rsidRPr="00C87B42">
        <w:rPr>
          <w:b/>
          <w:i/>
          <w:szCs w:val="20"/>
        </w:rPr>
        <w:lastRenderedPageBreak/>
        <w:t>Europa –Redes e infraestructuras</w:t>
      </w:r>
    </w:p>
    <w:p w:rsidR="007066B1" w:rsidRPr="007066B1" w:rsidRDefault="007066B1" w:rsidP="001816A4">
      <w:pPr>
        <w:numPr>
          <w:ilvl w:val="0"/>
          <w:numId w:val="32"/>
        </w:numPr>
        <w:spacing w:before="100" w:beforeAutospacing="1" w:line="276" w:lineRule="auto"/>
        <w:ind w:left="284" w:hanging="284"/>
        <w:rPr>
          <w:lang w:val="es-ES_tradnl"/>
        </w:rPr>
      </w:pPr>
      <w:r w:rsidRPr="007066B1">
        <w:rPr>
          <w:b/>
          <w:lang w:val="es-ES_tradnl"/>
        </w:rPr>
        <w:t>Gran Bretaña y Bélgica abren una consulta pública conjunta sobre el régimen inversor de una interconexión de 1</w:t>
      </w:r>
      <w:r w:rsidR="00525C5D">
        <w:rPr>
          <w:b/>
          <w:lang w:val="es-ES_tradnl"/>
        </w:rPr>
        <w:t xml:space="preserve"> </w:t>
      </w:r>
      <w:r w:rsidRPr="007066B1">
        <w:rPr>
          <w:b/>
          <w:lang w:val="es-ES_tradnl"/>
        </w:rPr>
        <w:t xml:space="preserve">GW entre ambos países: </w:t>
      </w:r>
      <w:r w:rsidRPr="007066B1">
        <w:rPr>
          <w:lang w:val="es-ES_tradnl"/>
        </w:rPr>
        <w:t xml:space="preserve">Los reguladores quieren comentarios sobre los principios y diseño de un mecanismo ‘cap-and-floor’ para la interconexión. Este mecanismo ha sido elegido porque reparten de forma eficiente los riesgos entre inversores y consumidores. Se espera que la interconexión esté operativa en 2016-2018. (EUE 01.07) </w:t>
      </w:r>
    </w:p>
    <w:p w:rsidR="007066B1" w:rsidRPr="007066B1" w:rsidRDefault="007066B1" w:rsidP="001816A4">
      <w:pPr>
        <w:numPr>
          <w:ilvl w:val="0"/>
          <w:numId w:val="32"/>
        </w:numPr>
        <w:spacing w:before="100" w:beforeAutospacing="1" w:line="276" w:lineRule="auto"/>
        <w:ind w:left="284" w:hanging="284"/>
        <w:rPr>
          <w:b/>
          <w:lang w:val="es-ES_tradnl"/>
        </w:rPr>
      </w:pPr>
      <w:r w:rsidRPr="007066B1">
        <w:rPr>
          <w:b/>
          <w:lang w:val="es-ES_tradnl"/>
        </w:rPr>
        <w:t xml:space="preserve">Según ENTSO-E, este verano se producirán restricciones en la red si se producen olas de calor, </w:t>
      </w:r>
      <w:r w:rsidRPr="007066B1">
        <w:rPr>
          <w:lang w:val="es-ES_tradnl"/>
        </w:rPr>
        <w:t>sobre todo en Francia donde los márgenes son estrechos y hay problemas de sequía, o en Bulgaria, aunque en este país se están reforzando las redes. Países como Hungría, Finlandia, Polonia o Lituania, deberán de confiar en las importaciones para cubrir la demanda. (EUE 01.07)</w:t>
      </w:r>
      <w:r w:rsidRPr="007066B1">
        <w:rPr>
          <w:b/>
          <w:lang w:val="es-ES_tradnl"/>
        </w:rPr>
        <w:t xml:space="preserve"> </w:t>
      </w:r>
    </w:p>
    <w:p w:rsidR="007066B1" w:rsidRPr="007066B1" w:rsidRDefault="007066B1" w:rsidP="001816A4">
      <w:pPr>
        <w:numPr>
          <w:ilvl w:val="0"/>
          <w:numId w:val="32"/>
        </w:numPr>
        <w:spacing w:before="100" w:beforeAutospacing="1" w:line="276" w:lineRule="auto"/>
        <w:ind w:left="284" w:hanging="284"/>
        <w:rPr>
          <w:lang w:val="es-ES_tradnl"/>
        </w:rPr>
      </w:pPr>
      <w:r w:rsidRPr="007066B1">
        <w:rPr>
          <w:b/>
          <w:lang w:val="es-ES_tradnl"/>
        </w:rPr>
        <w:t xml:space="preserve">Las compañías de redes polacas, invertirán 6.700 millones EUR en mejorar las redes para 2015, </w:t>
      </w:r>
      <w:r w:rsidRPr="007066B1">
        <w:rPr>
          <w:lang w:val="es-ES_tradnl"/>
        </w:rPr>
        <w:t xml:space="preserve">después de que el regulador URE aprobara los planes de desarrollo. Los nuevos proyectos incluyen la conexión de nuevos clientes, la construcción de nuevas redes así como la mejora de las ya existentes. (EUE 15.07). Además </w:t>
      </w:r>
      <w:r w:rsidRPr="007066B1">
        <w:rPr>
          <w:b/>
          <w:lang w:val="es-ES_tradnl"/>
        </w:rPr>
        <w:t>Energa ha recibido el visto bueno del regulador para modernizar sus redes de distribución y construir otras nuevas.</w:t>
      </w:r>
      <w:r w:rsidRPr="007066B1">
        <w:rPr>
          <w:lang w:val="es-ES_tradnl"/>
        </w:rPr>
        <w:t xml:space="preserve"> Su red incluye 188.000km y suministra unos 19TWh de electricidad al año. (EUE 29.07) </w:t>
      </w:r>
    </w:p>
    <w:p w:rsidR="007066B1" w:rsidRPr="007066B1" w:rsidRDefault="007066B1" w:rsidP="001816A4">
      <w:pPr>
        <w:numPr>
          <w:ilvl w:val="0"/>
          <w:numId w:val="32"/>
        </w:numPr>
        <w:spacing w:before="100" w:beforeAutospacing="1" w:line="276" w:lineRule="auto"/>
        <w:ind w:left="284" w:hanging="284"/>
        <w:rPr>
          <w:lang w:val="es-ES_tradnl"/>
        </w:rPr>
      </w:pPr>
      <w:r w:rsidRPr="007066B1">
        <w:rPr>
          <w:b/>
          <w:lang w:val="es-ES_tradnl"/>
        </w:rPr>
        <w:t xml:space="preserve">Se abre la oferta pública para construir una nueva interconexión Francia – Italia, </w:t>
      </w:r>
      <w:r w:rsidRPr="007066B1">
        <w:rPr>
          <w:lang w:val="es-ES_tradnl"/>
        </w:rPr>
        <w:t>que consistirá en dos líneas de 600</w:t>
      </w:r>
      <w:r w:rsidR="00525C5D">
        <w:rPr>
          <w:lang w:val="es-ES_tradnl"/>
        </w:rPr>
        <w:t xml:space="preserve"> </w:t>
      </w:r>
      <w:r w:rsidRPr="007066B1">
        <w:rPr>
          <w:lang w:val="es-ES_tradnl"/>
        </w:rPr>
        <w:t>MW entre Piemonte y Saboya. La línea deberá comenzar su construcción en 2012 y estar terminada para 2017 y consistirá en una línea subterránea de 320</w:t>
      </w:r>
      <w:r w:rsidR="00525C5D">
        <w:rPr>
          <w:lang w:val="es-ES_tradnl"/>
        </w:rPr>
        <w:t xml:space="preserve"> </w:t>
      </w:r>
      <w:r w:rsidRPr="007066B1">
        <w:rPr>
          <w:lang w:val="es-ES_tradnl"/>
        </w:rPr>
        <w:t>kV DC de 190</w:t>
      </w:r>
      <w:r w:rsidR="00525C5D">
        <w:rPr>
          <w:lang w:val="es-ES_tradnl"/>
        </w:rPr>
        <w:t xml:space="preserve"> </w:t>
      </w:r>
      <w:r w:rsidRPr="007066B1">
        <w:rPr>
          <w:lang w:val="es-ES_tradnl"/>
        </w:rPr>
        <w:t xml:space="preserve">km. </w:t>
      </w:r>
      <w:r w:rsidR="00525C5D">
        <w:rPr>
          <w:lang w:val="es-ES_tradnl"/>
        </w:rPr>
        <w:t>(PIE 25.07) y</w:t>
      </w:r>
      <w:r w:rsidRPr="007066B1">
        <w:rPr>
          <w:lang w:val="es-ES_tradnl"/>
        </w:rPr>
        <w:t xml:space="preserve"> (EUE 29.07). </w:t>
      </w:r>
      <w:r w:rsidRPr="003200CA">
        <w:rPr>
          <w:b/>
          <w:lang w:val="es-ES_tradnl"/>
        </w:rPr>
        <w:t>Italia construirá además una línea subterránea con Montenegro</w:t>
      </w:r>
      <w:r w:rsidRPr="007066B1">
        <w:rPr>
          <w:lang w:val="es-ES_tradnl"/>
        </w:rPr>
        <w:t>, de 420</w:t>
      </w:r>
      <w:r w:rsidR="00525C5D">
        <w:rPr>
          <w:lang w:val="es-ES_tradnl"/>
        </w:rPr>
        <w:t xml:space="preserve"> </w:t>
      </w:r>
      <w:r w:rsidRPr="007066B1">
        <w:rPr>
          <w:lang w:val="es-ES_tradnl"/>
        </w:rPr>
        <w:t>km, 1</w:t>
      </w:r>
      <w:r w:rsidR="00525C5D">
        <w:rPr>
          <w:lang w:val="es-ES_tradnl"/>
        </w:rPr>
        <w:t>.</w:t>
      </w:r>
      <w:r w:rsidRPr="007066B1">
        <w:rPr>
          <w:lang w:val="es-ES_tradnl"/>
        </w:rPr>
        <w:t>000</w:t>
      </w:r>
      <w:r w:rsidR="00525C5D">
        <w:rPr>
          <w:lang w:val="es-ES_tradnl"/>
        </w:rPr>
        <w:t xml:space="preserve"> </w:t>
      </w:r>
      <w:r w:rsidRPr="007066B1">
        <w:rPr>
          <w:lang w:val="es-ES_tradnl"/>
        </w:rPr>
        <w:t xml:space="preserve">MW DC y que entrará en funcionamiento en 2015. (EUE 29.07). </w:t>
      </w:r>
    </w:p>
    <w:p w:rsidR="003200CA" w:rsidRPr="003200CA" w:rsidRDefault="00C87B42" w:rsidP="003200CA">
      <w:pPr>
        <w:keepNext/>
        <w:spacing w:before="100" w:beforeAutospacing="1" w:after="100" w:afterAutospacing="1" w:line="276" w:lineRule="auto"/>
        <w:rPr>
          <w:b/>
          <w:i/>
          <w:szCs w:val="20"/>
        </w:rPr>
      </w:pPr>
      <w:r w:rsidRPr="005D0054">
        <w:rPr>
          <w:b/>
          <w:i/>
          <w:szCs w:val="20"/>
        </w:rPr>
        <w:t>Europa – Nuclear</w:t>
      </w:r>
    </w:p>
    <w:p w:rsidR="003200CA" w:rsidRPr="003200CA" w:rsidRDefault="003200CA" w:rsidP="001816A4">
      <w:pPr>
        <w:numPr>
          <w:ilvl w:val="0"/>
          <w:numId w:val="33"/>
        </w:numPr>
        <w:spacing w:before="100" w:beforeAutospacing="1" w:line="276" w:lineRule="auto"/>
        <w:ind w:left="284" w:hanging="284"/>
        <w:rPr>
          <w:lang w:val="es-ES_tradnl"/>
        </w:rPr>
      </w:pPr>
      <w:r w:rsidRPr="003200CA">
        <w:rPr>
          <w:b/>
          <w:lang w:val="es-ES_tradnl"/>
        </w:rPr>
        <w:t xml:space="preserve">Francia invertirá 1.000 millones EUR en el desarrollo de su programa nuclear civil. </w:t>
      </w:r>
      <w:r w:rsidRPr="003200CA">
        <w:rPr>
          <w:lang w:val="es-ES_tradnl"/>
        </w:rPr>
        <w:t xml:space="preserve">Aunque no se ha concretado el plazo de inicio, el programa investigará sobre todo energía nuclear de cuarta generación. (EUE 01.07). Mientras, la central de </w:t>
      </w:r>
      <w:r w:rsidRPr="003200CA">
        <w:rPr>
          <w:b/>
          <w:lang w:val="es-ES_tradnl"/>
        </w:rPr>
        <w:t>Flamanville-3 se retrasa dos años más y se prevé su puesta en marcha para 2016.</w:t>
      </w:r>
      <w:r w:rsidRPr="003200CA">
        <w:rPr>
          <w:lang w:val="es-ES_tradnl"/>
        </w:rPr>
        <w:t xml:space="preserve"> Su construcción comenzó en 2005 y hasta la fecha su coste estimado ha aumentado en 5.000 millones EUR de los iniciales 3.300 millones EUR. (PIE 25.07)</w:t>
      </w:r>
      <w:r w:rsidR="00525C5D">
        <w:rPr>
          <w:lang w:val="es-ES_tradnl"/>
        </w:rPr>
        <w:t xml:space="preserve"> y </w:t>
      </w:r>
      <w:r w:rsidRPr="003200CA">
        <w:rPr>
          <w:lang w:val="es-ES_tradnl"/>
        </w:rPr>
        <w:t xml:space="preserve">(EUE 29.07). </w:t>
      </w:r>
    </w:p>
    <w:p w:rsidR="003200CA" w:rsidRPr="003200CA" w:rsidRDefault="003200CA" w:rsidP="001816A4">
      <w:pPr>
        <w:numPr>
          <w:ilvl w:val="0"/>
          <w:numId w:val="33"/>
        </w:numPr>
        <w:spacing w:before="100" w:beforeAutospacing="1" w:line="276" w:lineRule="auto"/>
        <w:ind w:left="284" w:hanging="284"/>
        <w:rPr>
          <w:lang w:val="es-ES_tradnl"/>
        </w:rPr>
      </w:pPr>
      <w:r w:rsidRPr="003200CA">
        <w:rPr>
          <w:b/>
          <w:lang w:val="es-ES_tradnl"/>
        </w:rPr>
        <w:t xml:space="preserve">La central nuclear más antigua de Francia, operativa 10 años más: </w:t>
      </w:r>
      <w:r w:rsidRPr="003200CA">
        <w:rPr>
          <w:lang w:val="es-ES_tradnl"/>
        </w:rPr>
        <w:t xml:space="preserve">el reactor Fessenheim-1, conectado a la red en 1977, ha superado los controles de la autoridad de seguridad nuclear francesa, por lo que estará operativo siempre que se realice antes de 2013 ciertas mejoras. (EUE 15.07) </w:t>
      </w:r>
    </w:p>
    <w:p w:rsidR="003200CA" w:rsidRPr="003200CA" w:rsidRDefault="003200CA" w:rsidP="001816A4">
      <w:pPr>
        <w:numPr>
          <w:ilvl w:val="0"/>
          <w:numId w:val="33"/>
        </w:numPr>
        <w:spacing w:before="100" w:beforeAutospacing="1" w:line="276" w:lineRule="auto"/>
        <w:ind w:left="284" w:hanging="284"/>
        <w:rPr>
          <w:lang w:val="es-ES_tradnl"/>
        </w:rPr>
      </w:pPr>
      <w:r w:rsidRPr="003200CA">
        <w:rPr>
          <w:b/>
          <w:lang w:val="es-ES_tradnl"/>
        </w:rPr>
        <w:t>Según la AIE, Alemania necesitará 16</w:t>
      </w:r>
      <w:r w:rsidR="00525C5D">
        <w:rPr>
          <w:b/>
          <w:lang w:val="es-ES_tradnl"/>
        </w:rPr>
        <w:t xml:space="preserve"> </w:t>
      </w:r>
      <w:r w:rsidRPr="003200CA">
        <w:rPr>
          <w:b/>
          <w:lang w:val="es-ES_tradnl"/>
        </w:rPr>
        <w:t xml:space="preserve">bcm adicionales de gas </w:t>
      </w:r>
      <w:r w:rsidRPr="003200CA">
        <w:rPr>
          <w:lang w:val="es-ES_tradnl"/>
        </w:rPr>
        <w:t>tras el aban</w:t>
      </w:r>
      <w:r w:rsidR="00525C5D">
        <w:rPr>
          <w:lang w:val="es-ES_tradnl"/>
        </w:rPr>
        <w:t>dono de la nuclear en 2022</w:t>
      </w:r>
      <w:r w:rsidRPr="003200CA">
        <w:rPr>
          <w:lang w:val="es-ES_tradnl"/>
        </w:rPr>
        <w:t xml:space="preserve"> y cree que Rusia tendrá un papel fundamental en la cobertura de esa demanda (EUE 01.07) </w:t>
      </w:r>
    </w:p>
    <w:p w:rsidR="003200CA" w:rsidRPr="003200CA" w:rsidRDefault="003200CA" w:rsidP="001816A4">
      <w:pPr>
        <w:numPr>
          <w:ilvl w:val="0"/>
          <w:numId w:val="33"/>
        </w:numPr>
        <w:spacing w:before="100" w:beforeAutospacing="1" w:line="276" w:lineRule="auto"/>
        <w:ind w:left="284" w:hanging="284"/>
        <w:rPr>
          <w:lang w:val="es-ES_tradnl"/>
        </w:rPr>
      </w:pPr>
      <w:r w:rsidRPr="003200CA">
        <w:rPr>
          <w:b/>
          <w:lang w:val="es-ES_tradnl"/>
        </w:rPr>
        <w:t xml:space="preserve">El consorcio Hitacho-GE gana la subasta que les convertirá en inversores y suministradores estratégicos de la central nuclear de Visagina que se construirá en Lituania. </w:t>
      </w:r>
      <w:r w:rsidRPr="003200CA">
        <w:rPr>
          <w:lang w:val="es-ES_tradnl"/>
        </w:rPr>
        <w:t xml:space="preserve">Con esta central, la cual compartirá la propiedad con Letonia, Polonia y Estonia, se reducirá la actual dependencia energética de Rusia. Se espera empiece su construcción en 2014 y esté operativa en 2020. (GPR 21.07) </w:t>
      </w:r>
    </w:p>
    <w:p w:rsidR="003200CA" w:rsidRPr="003200CA" w:rsidRDefault="003200CA" w:rsidP="001816A4">
      <w:pPr>
        <w:numPr>
          <w:ilvl w:val="0"/>
          <w:numId w:val="33"/>
        </w:numPr>
        <w:spacing w:before="100" w:beforeAutospacing="1" w:line="276" w:lineRule="auto"/>
        <w:ind w:left="284" w:hanging="284"/>
        <w:rPr>
          <w:lang w:val="es-ES_tradnl"/>
        </w:rPr>
      </w:pPr>
      <w:r w:rsidRPr="003200CA">
        <w:rPr>
          <w:b/>
          <w:lang w:val="es-ES_tradnl"/>
        </w:rPr>
        <w:t xml:space="preserve">Bélgica aumentará el límite de la responsabilidad de las nucleares desde enero de 2012, pasando de los actuales 297 a 1.200 millones EUR. </w:t>
      </w:r>
      <w:r w:rsidRPr="003200CA">
        <w:rPr>
          <w:lang w:val="es-ES_tradnl"/>
        </w:rPr>
        <w:t>Este aumento se ha debido sobre todo tras el accidente ocurrido en Japón el pasado marzo. Ese techo de responsabilidad lo han fijado las aseguradoras al estimar que es el máxim</w:t>
      </w:r>
      <w:r w:rsidR="00525C5D">
        <w:rPr>
          <w:lang w:val="es-ES_tradnl"/>
        </w:rPr>
        <w:t xml:space="preserve">o que pueden pagar. (PIE 25.07) y </w:t>
      </w:r>
      <w:r w:rsidRPr="003200CA">
        <w:rPr>
          <w:lang w:val="es-ES_tradnl"/>
        </w:rPr>
        <w:t xml:space="preserve">(EUE 29.07) </w:t>
      </w:r>
    </w:p>
    <w:p w:rsidR="003200CA" w:rsidRPr="003200CA" w:rsidRDefault="003200CA" w:rsidP="001816A4">
      <w:pPr>
        <w:numPr>
          <w:ilvl w:val="0"/>
          <w:numId w:val="33"/>
        </w:numPr>
        <w:spacing w:before="100" w:beforeAutospacing="1" w:line="276" w:lineRule="auto"/>
        <w:ind w:left="284" w:hanging="284"/>
        <w:rPr>
          <w:lang w:val="es-ES_tradnl"/>
        </w:rPr>
      </w:pPr>
      <w:r w:rsidRPr="003200CA">
        <w:rPr>
          <w:b/>
          <w:lang w:val="es-ES_tradnl"/>
        </w:rPr>
        <w:lastRenderedPageBreak/>
        <w:t xml:space="preserve">Generadores y grandes consumidores belgas forman la asociación Blue Sky para contratar el suministro de energía nuclear. </w:t>
      </w:r>
      <w:r w:rsidRPr="003200CA">
        <w:rPr>
          <w:lang w:val="es-ES_tradnl"/>
        </w:rPr>
        <w:t>Este grupo contratará cerca de 11% de las centrales nucleares belgas (200</w:t>
      </w:r>
      <w:r w:rsidR="00525C5D">
        <w:rPr>
          <w:lang w:val="es-ES_tradnl"/>
        </w:rPr>
        <w:t xml:space="preserve"> </w:t>
      </w:r>
      <w:r w:rsidRPr="003200CA">
        <w:rPr>
          <w:lang w:val="es-ES_tradnl"/>
        </w:rPr>
        <w:t>MWe). Este grupo además invertirá en otros 200</w:t>
      </w:r>
      <w:r w:rsidR="00525C5D">
        <w:rPr>
          <w:lang w:val="es-ES_tradnl"/>
        </w:rPr>
        <w:t xml:space="preserve"> </w:t>
      </w:r>
      <w:r w:rsidRPr="003200CA">
        <w:rPr>
          <w:lang w:val="es-ES_tradnl"/>
        </w:rPr>
        <w:t xml:space="preserve">MW de nueva capacidad de generación con ciclos combinados de gas. También en Finlandia existe el proyecto Fennovoima, formado por 70 industriales liderados por E.ON y con el objetivo de construir y operar una central nuclear. (WNN, 26.08). </w:t>
      </w:r>
    </w:p>
    <w:p w:rsidR="003200CA" w:rsidRPr="003200CA" w:rsidRDefault="003200CA" w:rsidP="001816A4">
      <w:pPr>
        <w:numPr>
          <w:ilvl w:val="0"/>
          <w:numId w:val="33"/>
        </w:numPr>
        <w:spacing w:before="100" w:beforeAutospacing="1" w:line="276" w:lineRule="auto"/>
        <w:ind w:left="284" w:hanging="284"/>
        <w:rPr>
          <w:lang w:val="es-ES_tradnl"/>
        </w:rPr>
      </w:pPr>
      <w:r w:rsidRPr="003200CA">
        <w:rPr>
          <w:b/>
          <w:lang w:val="es-ES_tradnl"/>
        </w:rPr>
        <w:t xml:space="preserve">La UE adopta la directiva sobre gestión segura de residuos radiactivos, </w:t>
      </w:r>
      <w:r w:rsidRPr="003200CA">
        <w:rPr>
          <w:lang w:val="es-ES_tradnl"/>
        </w:rPr>
        <w:t xml:space="preserve">la cual incluye además la normativa para su exportación en determinadas circunstancias así como la obligatoriedad de que los países miembro deban elaborar un programa nacional de gestión de residuos para 2015. (EUE 29.07) </w:t>
      </w:r>
    </w:p>
    <w:p w:rsidR="003200CA" w:rsidRPr="003200CA" w:rsidRDefault="003200CA" w:rsidP="001816A4">
      <w:pPr>
        <w:numPr>
          <w:ilvl w:val="0"/>
          <w:numId w:val="33"/>
        </w:numPr>
        <w:spacing w:before="100" w:beforeAutospacing="1" w:line="276" w:lineRule="auto"/>
        <w:ind w:left="284" w:hanging="284"/>
        <w:rPr>
          <w:lang w:val="es-ES_tradnl"/>
        </w:rPr>
      </w:pPr>
      <w:r w:rsidRPr="003200CA">
        <w:rPr>
          <w:b/>
          <w:lang w:val="es-ES_tradnl"/>
        </w:rPr>
        <w:t xml:space="preserve">El gobierno finlandés no aplicará la tasa a las nucleares en 2012, </w:t>
      </w:r>
      <w:r w:rsidRPr="003200CA">
        <w:rPr>
          <w:lang w:val="es-ES_tradnl"/>
        </w:rPr>
        <w:t xml:space="preserve">lo cual no descarta que empiece a aplicarla en 2013, de modo que para esa fecha el gobierno habrá podido estudiar todas las opciones para poder aplicar un impuesto a las nucleares sin causar perjuicio o doble imposición a los grandes consumidores. (UBS, Merrill Lynch, 23.08) </w:t>
      </w:r>
    </w:p>
    <w:p w:rsidR="00C87B42" w:rsidRPr="00C87B42" w:rsidRDefault="00C87B42" w:rsidP="00C87B42">
      <w:pPr>
        <w:spacing w:before="100" w:beforeAutospacing="1" w:after="100" w:afterAutospacing="1" w:line="276" w:lineRule="auto"/>
        <w:rPr>
          <w:b/>
          <w:i/>
          <w:szCs w:val="20"/>
        </w:rPr>
      </w:pPr>
      <w:r w:rsidRPr="00C87B42">
        <w:rPr>
          <w:b/>
          <w:i/>
          <w:szCs w:val="20"/>
        </w:rPr>
        <w:t>Europa – Gas</w:t>
      </w:r>
    </w:p>
    <w:p w:rsidR="003200CA" w:rsidRPr="003200CA" w:rsidRDefault="003200CA" w:rsidP="001816A4">
      <w:pPr>
        <w:numPr>
          <w:ilvl w:val="0"/>
          <w:numId w:val="34"/>
        </w:numPr>
        <w:spacing w:before="100" w:beforeAutospacing="1" w:line="276" w:lineRule="auto"/>
        <w:ind w:left="284" w:hanging="284"/>
        <w:rPr>
          <w:lang w:val="es-ES_tradnl"/>
        </w:rPr>
      </w:pPr>
      <w:r w:rsidRPr="003200CA">
        <w:rPr>
          <w:b/>
          <w:lang w:val="es-ES_tradnl"/>
        </w:rPr>
        <w:t xml:space="preserve">La interconexión gasista Hungría-Croacia a punto de empezar a operar: </w:t>
      </w:r>
      <w:r w:rsidRPr="003200CA">
        <w:rPr>
          <w:lang w:val="es-ES_tradnl"/>
        </w:rPr>
        <w:t>el nuevo gasoducto de 205</w:t>
      </w:r>
      <w:r w:rsidR="00525C5D">
        <w:rPr>
          <w:lang w:val="es-ES_tradnl"/>
        </w:rPr>
        <w:t xml:space="preserve"> </w:t>
      </w:r>
      <w:r w:rsidRPr="003200CA">
        <w:rPr>
          <w:lang w:val="es-ES_tradnl"/>
        </w:rPr>
        <w:t xml:space="preserve">km comenzará en breve a funcionar tras superar los test a los que ha sido sometido. La construcción comenzó en 2009 y servirá para aumentar la seguridad de suministro de la zona, especialmente si se construye una terminal de GNL en Croacia. (EUE 15.07). </w:t>
      </w:r>
    </w:p>
    <w:p w:rsidR="003200CA" w:rsidRPr="003200CA" w:rsidRDefault="003200CA" w:rsidP="001816A4">
      <w:pPr>
        <w:numPr>
          <w:ilvl w:val="0"/>
          <w:numId w:val="34"/>
        </w:numPr>
        <w:spacing w:before="100" w:beforeAutospacing="1" w:line="276" w:lineRule="auto"/>
        <w:ind w:left="284" w:hanging="284"/>
        <w:rPr>
          <w:b/>
          <w:lang w:val="es-ES_tradnl"/>
        </w:rPr>
      </w:pPr>
      <w:r w:rsidRPr="003200CA">
        <w:rPr>
          <w:b/>
          <w:lang w:val="es-ES_tradnl"/>
        </w:rPr>
        <w:t>Italia aprueba la construcción de la terminal de 4</w:t>
      </w:r>
      <w:r w:rsidR="00525C5D">
        <w:rPr>
          <w:b/>
          <w:lang w:val="es-ES_tradnl"/>
        </w:rPr>
        <w:t xml:space="preserve"> </w:t>
      </w:r>
      <w:r w:rsidRPr="003200CA">
        <w:rPr>
          <w:b/>
          <w:lang w:val="es-ES_tradnl"/>
        </w:rPr>
        <w:t xml:space="preserve">bcm/año de GNL de Falconara, </w:t>
      </w:r>
      <w:r w:rsidRPr="003200CA">
        <w:rPr>
          <w:lang w:val="es-ES_tradnl"/>
        </w:rPr>
        <w:t>cerca de Ancona:</w:t>
      </w:r>
      <w:r w:rsidRPr="003200CA">
        <w:rPr>
          <w:b/>
          <w:lang w:val="es-ES_tradnl"/>
        </w:rPr>
        <w:t xml:space="preserve"> </w:t>
      </w:r>
      <w:r w:rsidRPr="003200CA">
        <w:rPr>
          <w:lang w:val="es-ES_tradnl"/>
        </w:rPr>
        <w:t>la planta se construirá adaptando una plataforma existente offshore situada a 16</w:t>
      </w:r>
      <w:r w:rsidR="00525C5D">
        <w:rPr>
          <w:lang w:val="es-ES_tradnl"/>
        </w:rPr>
        <w:t xml:space="preserve">b </w:t>
      </w:r>
      <w:r w:rsidRPr="003200CA">
        <w:rPr>
          <w:lang w:val="es-ES_tradnl"/>
        </w:rPr>
        <w:t>km de la costa y que actualmente es usada para descargar tanques. (GPR 15.07)</w:t>
      </w:r>
      <w:r w:rsidRPr="003200CA">
        <w:rPr>
          <w:b/>
          <w:lang w:val="es-ES_tradnl"/>
        </w:rPr>
        <w:t xml:space="preserve"> </w:t>
      </w:r>
    </w:p>
    <w:p w:rsidR="003200CA" w:rsidRPr="003200CA" w:rsidRDefault="003200CA" w:rsidP="001816A4">
      <w:pPr>
        <w:numPr>
          <w:ilvl w:val="0"/>
          <w:numId w:val="34"/>
        </w:numPr>
        <w:spacing w:before="100" w:beforeAutospacing="1" w:line="276" w:lineRule="auto"/>
        <w:ind w:left="284" w:hanging="284"/>
        <w:rPr>
          <w:lang w:val="es-ES_tradnl"/>
        </w:rPr>
      </w:pPr>
      <w:r w:rsidRPr="003200CA">
        <w:rPr>
          <w:b/>
          <w:lang w:val="es-ES_tradnl"/>
        </w:rPr>
        <w:t xml:space="preserve">Las subastas de capacidad de gas a largo plazo Francia –Bélgica comenzarán en septiembre: </w:t>
      </w:r>
      <w:r w:rsidRPr="003200CA">
        <w:rPr>
          <w:lang w:val="es-ES_tradnl"/>
        </w:rPr>
        <w:t>se podrán comenzar las subastas debido a que el proyecto de la terminal de GNL Dunkirk entrará en operación en 2015 junto con una nueva interconexión con Bélgica en Veurne. Esta terminal permitirá el transporte de 14</w:t>
      </w:r>
      <w:r w:rsidR="00525C5D">
        <w:rPr>
          <w:lang w:val="es-ES_tradnl"/>
        </w:rPr>
        <w:t xml:space="preserve"> </w:t>
      </w:r>
      <w:r w:rsidRPr="003200CA">
        <w:rPr>
          <w:lang w:val="es-ES_tradnl"/>
        </w:rPr>
        <w:t xml:space="preserve">bcm/año de gas de Francia a Bélgica. (EUE 29.07) </w:t>
      </w:r>
    </w:p>
    <w:p w:rsidR="003200CA" w:rsidRDefault="003200CA" w:rsidP="001816A4">
      <w:pPr>
        <w:numPr>
          <w:ilvl w:val="0"/>
          <w:numId w:val="34"/>
        </w:numPr>
        <w:spacing w:before="100" w:beforeAutospacing="1" w:line="276" w:lineRule="auto"/>
        <w:ind w:left="284" w:hanging="284"/>
        <w:rPr>
          <w:lang w:val="es-ES_tradnl"/>
        </w:rPr>
      </w:pPr>
      <w:r w:rsidRPr="003200CA">
        <w:rPr>
          <w:b/>
          <w:lang w:val="es-ES_tradnl"/>
        </w:rPr>
        <w:t xml:space="preserve">Polonia modifica la ley de reservas de gas obligatorias del país, con el objetivo de abrir el mercado de gas natural a la competencia. </w:t>
      </w:r>
      <w:r w:rsidRPr="003200CA">
        <w:rPr>
          <w:lang w:val="es-ES_tradnl"/>
        </w:rPr>
        <w:t xml:space="preserve">En la actualidad el productor y distribuidor PGNiG tiene monopolio virtual en el mercado puesto que la ley determina que las compañías tienen que tener un 11% de las importaciones de gas en reservas, cosa imposible porque todo el almacenamiento disponible es usado por PGNiG. (EUE 26.08) </w:t>
      </w:r>
    </w:p>
    <w:p w:rsidR="00C87B42" w:rsidRPr="00C87B42" w:rsidRDefault="00C87B42" w:rsidP="00C87B42">
      <w:pPr>
        <w:spacing w:before="100" w:beforeAutospacing="1" w:after="100" w:afterAutospacing="1" w:line="276" w:lineRule="auto"/>
        <w:rPr>
          <w:b/>
          <w:i/>
          <w:szCs w:val="20"/>
        </w:rPr>
      </w:pPr>
      <w:r w:rsidRPr="00C87B42">
        <w:rPr>
          <w:b/>
          <w:i/>
          <w:szCs w:val="20"/>
        </w:rPr>
        <w:t>Norteamérica – Renovables y Medio Ambiente</w:t>
      </w:r>
    </w:p>
    <w:p w:rsidR="005C1157" w:rsidRPr="005C1157" w:rsidRDefault="005C1157" w:rsidP="001816A4">
      <w:pPr>
        <w:numPr>
          <w:ilvl w:val="0"/>
          <w:numId w:val="35"/>
        </w:numPr>
        <w:spacing w:before="100" w:beforeAutospacing="1" w:line="276" w:lineRule="auto"/>
        <w:ind w:left="284" w:hanging="284"/>
        <w:rPr>
          <w:rFonts w:cs="Arial"/>
        </w:rPr>
      </w:pPr>
      <w:r w:rsidRPr="005C1157">
        <w:rPr>
          <w:rFonts w:cs="Arial"/>
          <w:b/>
        </w:rPr>
        <w:t xml:space="preserve">Oregón prepara un estándar de GEI que limitará la posibilidad de construir nuevas centrales de carbón en el estado. </w:t>
      </w:r>
      <w:r w:rsidRPr="005C1157">
        <w:rPr>
          <w:rFonts w:cs="Arial"/>
        </w:rPr>
        <w:t>El estándar prohíbe emitir más de 1.100 libras de GEI/MWh (500</w:t>
      </w:r>
      <w:r w:rsidR="00525C5D">
        <w:rPr>
          <w:rFonts w:cs="Arial"/>
        </w:rPr>
        <w:t xml:space="preserve"> </w:t>
      </w:r>
      <w:r w:rsidRPr="005C1157">
        <w:rPr>
          <w:rFonts w:cs="Arial"/>
        </w:rPr>
        <w:t xml:space="preserve">kg/MWh). Se espera que el estándar sea efectivo en otoño y que ayude a conseguir el objetivo de reducir en 2020 un 10% de las emisiones por debajo de los niveles de 1990. (GPR 07.07). </w:t>
      </w:r>
    </w:p>
    <w:p w:rsidR="005C1157" w:rsidRPr="005C1157" w:rsidRDefault="005C1157" w:rsidP="001816A4">
      <w:pPr>
        <w:numPr>
          <w:ilvl w:val="0"/>
          <w:numId w:val="35"/>
        </w:numPr>
        <w:spacing w:before="100" w:beforeAutospacing="1" w:line="276" w:lineRule="auto"/>
        <w:ind w:left="284" w:hanging="284"/>
        <w:rPr>
          <w:rFonts w:cs="Arial"/>
        </w:rPr>
      </w:pPr>
      <w:r w:rsidRPr="005C1157">
        <w:rPr>
          <w:rFonts w:cs="Arial"/>
          <w:b/>
        </w:rPr>
        <w:t xml:space="preserve">La empresa American Electric paraliza su plan de construir la primera central a escala comercial de CCS </w:t>
      </w:r>
      <w:r w:rsidRPr="005C1157">
        <w:rPr>
          <w:rFonts w:cs="Arial"/>
        </w:rPr>
        <w:t xml:space="preserve">(captura de CO2) en West Virginia alegando problemas de financiación y de incertidumbre sobre la política climática de los EEUU. (Bloomberg 18.07) </w:t>
      </w:r>
    </w:p>
    <w:p w:rsidR="005C1157" w:rsidRPr="005C1157" w:rsidRDefault="005C1157" w:rsidP="001816A4">
      <w:pPr>
        <w:numPr>
          <w:ilvl w:val="0"/>
          <w:numId w:val="35"/>
        </w:numPr>
        <w:spacing w:before="100" w:beforeAutospacing="1" w:line="276" w:lineRule="auto"/>
        <w:ind w:left="284" w:hanging="284"/>
        <w:rPr>
          <w:rFonts w:cs="Arial"/>
          <w:b/>
        </w:rPr>
      </w:pPr>
      <w:r w:rsidRPr="005C1157">
        <w:rPr>
          <w:rFonts w:cs="Arial"/>
          <w:b/>
        </w:rPr>
        <w:t xml:space="preserve">El gobernador de New Hampshire veta la ley que pretendía sacar al estado de la RGGI (iniciativa de varios estados del Noreste sobre comercio de emisiones), </w:t>
      </w:r>
      <w:r w:rsidRPr="005C1157">
        <w:rPr>
          <w:rFonts w:cs="Arial"/>
        </w:rPr>
        <w:t xml:space="preserve">al considerar que esta iniciativa ha </w:t>
      </w:r>
      <w:r w:rsidRPr="005C1157">
        <w:rPr>
          <w:rFonts w:cs="Arial"/>
        </w:rPr>
        <w:lastRenderedPageBreak/>
        <w:t>proporcionado beneficios al estado y que sin ella, los esfuerzos de eficiencia no se habrían cumplido. (GPR 14.07). Con todo, se espera una revisión del RGGI. (GPR 25.08)</w:t>
      </w:r>
      <w:r w:rsidRPr="005C1157">
        <w:rPr>
          <w:rFonts w:cs="Arial"/>
          <w:b/>
        </w:rPr>
        <w:t xml:space="preserve"> </w:t>
      </w:r>
    </w:p>
    <w:p w:rsidR="005C1157" w:rsidRPr="005C1157" w:rsidRDefault="005C1157" w:rsidP="001816A4">
      <w:pPr>
        <w:numPr>
          <w:ilvl w:val="0"/>
          <w:numId w:val="35"/>
        </w:numPr>
        <w:spacing w:before="100" w:beforeAutospacing="1" w:line="276" w:lineRule="auto"/>
        <w:ind w:left="284" w:hanging="284"/>
        <w:rPr>
          <w:rFonts w:cs="Arial"/>
        </w:rPr>
      </w:pPr>
      <w:r w:rsidRPr="005C1157">
        <w:rPr>
          <w:rFonts w:cs="Arial"/>
          <w:b/>
        </w:rPr>
        <w:t xml:space="preserve">El Pentágono publica una </w:t>
      </w:r>
      <w:r w:rsidRPr="00525C5D">
        <w:rPr>
          <w:rFonts w:cs="Arial"/>
          <w:b/>
        </w:rPr>
        <w:t>lista</w:t>
      </w:r>
      <w:r w:rsidRPr="005C1157">
        <w:rPr>
          <w:rFonts w:cs="Arial"/>
          <w:b/>
        </w:rPr>
        <w:t xml:space="preserve"> de los proyectos de renovables que afectan a sistemas e infraestructuras militares </w:t>
      </w:r>
      <w:r w:rsidRPr="005C1157">
        <w:rPr>
          <w:rFonts w:cs="Arial"/>
        </w:rPr>
        <w:t xml:space="preserve">(una minoría frente a los que no presentan ningún problema): los promotores de los parques están ahora en conversaciones para determinar el impacto de las instalaciones en las operaciones militares y determinar si pueden ser construidos o no. (GPR 21.07) </w:t>
      </w:r>
    </w:p>
    <w:p w:rsidR="005C1157" w:rsidRPr="005C1157" w:rsidRDefault="005C1157" w:rsidP="001816A4">
      <w:pPr>
        <w:numPr>
          <w:ilvl w:val="0"/>
          <w:numId w:val="35"/>
        </w:numPr>
        <w:spacing w:before="100" w:beforeAutospacing="1" w:line="276" w:lineRule="auto"/>
        <w:ind w:left="284" w:hanging="284"/>
        <w:rPr>
          <w:rFonts w:cs="Arial"/>
          <w:b/>
        </w:rPr>
      </w:pPr>
      <w:r w:rsidRPr="005C1157">
        <w:rPr>
          <w:rFonts w:cs="Arial"/>
          <w:b/>
        </w:rPr>
        <w:t xml:space="preserve">La EPA lanzará un programa piloto de medición de las emisiones de NOx y SO2, </w:t>
      </w:r>
      <w:r w:rsidRPr="005C1157">
        <w:rPr>
          <w:rFonts w:cs="Arial"/>
        </w:rPr>
        <w:t>para recopilar más datos sobre los efectos indirectos de estos agentes contaminantes. EPA preparará un programa piloto de 5 años para recoger y analizar datos de modo que en un futuro se puedan establecer a nivel nacional ‘estándares de calidad del aire’ de ambos contaminantes. (GPR 21.07)</w:t>
      </w:r>
      <w:r w:rsidRPr="005C1157">
        <w:rPr>
          <w:rFonts w:cs="Arial"/>
          <w:b/>
        </w:rPr>
        <w:t xml:space="preserve"> </w:t>
      </w:r>
    </w:p>
    <w:p w:rsidR="005C1157" w:rsidRPr="005C1157" w:rsidRDefault="005C1157" w:rsidP="001816A4">
      <w:pPr>
        <w:numPr>
          <w:ilvl w:val="0"/>
          <w:numId w:val="35"/>
        </w:numPr>
        <w:spacing w:before="100" w:beforeAutospacing="1" w:line="276" w:lineRule="auto"/>
        <w:ind w:left="284" w:hanging="284"/>
        <w:rPr>
          <w:rFonts w:cs="Arial"/>
        </w:rPr>
      </w:pPr>
      <w:r w:rsidRPr="005C1157">
        <w:rPr>
          <w:rFonts w:cs="Arial"/>
          <w:b/>
        </w:rPr>
        <w:t xml:space="preserve">Un grupo de promotores desarrollara un estudio sobre la eólica en Texas, con el objetivo de ayudar las previsiones de viento y reducir los costes de la energía eólica. </w:t>
      </w:r>
      <w:r w:rsidRPr="005C1157">
        <w:rPr>
          <w:rFonts w:cs="Arial"/>
        </w:rPr>
        <w:t xml:space="preserve">Este estudio se llevará a cabo con el DOE y el NOAA y los datos servirán para mejorar la integración de la eólica así como mejorar los ahorros con mejores predicciones. (GPR 21.07) </w:t>
      </w:r>
    </w:p>
    <w:p w:rsidR="005C1157" w:rsidRPr="005C1157" w:rsidRDefault="005C1157" w:rsidP="001816A4">
      <w:pPr>
        <w:numPr>
          <w:ilvl w:val="0"/>
          <w:numId w:val="35"/>
        </w:numPr>
        <w:spacing w:before="100" w:beforeAutospacing="1" w:line="276" w:lineRule="auto"/>
        <w:ind w:left="284" w:hanging="284"/>
        <w:rPr>
          <w:rFonts w:cs="Arial"/>
        </w:rPr>
      </w:pPr>
      <w:r w:rsidRPr="005C1157">
        <w:rPr>
          <w:rFonts w:cs="Arial"/>
          <w:b/>
        </w:rPr>
        <w:t xml:space="preserve">Obama anuncia un estándar de combustibles de elevada eficiencia </w:t>
      </w:r>
      <w:r w:rsidRPr="005C1157">
        <w:rPr>
          <w:rFonts w:cs="Arial"/>
        </w:rPr>
        <w:t xml:space="preserve">(higher fuel efficiency standard). Tras un acuerdo con los 13 mayores fabricantes de automóviles, quiere aumentar la eficiencia del combustible a 54.5 millas por galón (4,32 l/100km) para coches y camiones ligeros para 2025, lo cual representa un 50% más de la eficiencia actual. (Whitehouse 29.07) </w:t>
      </w:r>
    </w:p>
    <w:p w:rsidR="005C1157" w:rsidRPr="005C1157" w:rsidRDefault="005C1157" w:rsidP="001816A4">
      <w:pPr>
        <w:numPr>
          <w:ilvl w:val="0"/>
          <w:numId w:val="35"/>
        </w:numPr>
        <w:spacing w:before="100" w:beforeAutospacing="1" w:line="276" w:lineRule="auto"/>
        <w:ind w:left="284" w:hanging="284"/>
        <w:rPr>
          <w:rFonts w:cs="Arial"/>
        </w:rPr>
      </w:pPr>
      <w:r w:rsidRPr="005C1157">
        <w:rPr>
          <w:rFonts w:cs="Arial"/>
          <w:b/>
        </w:rPr>
        <w:t xml:space="preserve">La CARB (California Air Resources Board) reafirma el programa de Cap-and-Trade: </w:t>
      </w:r>
      <w:r w:rsidRPr="005C1157">
        <w:rPr>
          <w:rFonts w:cs="Arial"/>
        </w:rPr>
        <w:t>el CARB ha adoptado este programa por lo que con él California se convertirá en el mayor mercado de carbono de Norteamérica. Se espera comercializar en este mercado unos permisos por valor de 10.000 M.USD. (Los Angeles times, 25.08).</w:t>
      </w:r>
    </w:p>
    <w:p w:rsidR="005C1157" w:rsidRPr="005C1157" w:rsidRDefault="005C1157" w:rsidP="001816A4">
      <w:pPr>
        <w:numPr>
          <w:ilvl w:val="0"/>
          <w:numId w:val="35"/>
        </w:numPr>
        <w:spacing w:before="100" w:beforeAutospacing="1" w:line="276" w:lineRule="auto"/>
        <w:ind w:left="284" w:hanging="284"/>
        <w:rPr>
          <w:rFonts w:cs="Arial"/>
          <w:b/>
        </w:rPr>
      </w:pPr>
      <w:r w:rsidRPr="005C1157">
        <w:rPr>
          <w:rFonts w:cs="Arial"/>
          <w:b/>
        </w:rPr>
        <w:t xml:space="preserve">California PUC aprueba de modo unánime un mecanismo de subastas de renovables (RAM). </w:t>
      </w:r>
      <w:r w:rsidRPr="005C1157">
        <w:rPr>
          <w:rFonts w:cs="Arial"/>
        </w:rPr>
        <w:t>Mediante este mecanismo se quiere impulsar el desarrollo de la generación de renovables distribuida de 20</w:t>
      </w:r>
      <w:r w:rsidR="00525C5D">
        <w:rPr>
          <w:rFonts w:cs="Arial"/>
        </w:rPr>
        <w:t xml:space="preserve"> </w:t>
      </w:r>
      <w:r w:rsidRPr="005C1157">
        <w:rPr>
          <w:rFonts w:cs="Arial"/>
        </w:rPr>
        <w:t>MW o menos. Con este programa las investor owned utilities (IOU) firmarán contratos a largo plazo con pequeños generadores de renovables. Para ello las IOU realizarán 4 subastas de 250</w:t>
      </w:r>
      <w:r w:rsidR="00525C5D">
        <w:rPr>
          <w:rFonts w:cs="Arial"/>
        </w:rPr>
        <w:t xml:space="preserve"> </w:t>
      </w:r>
      <w:r w:rsidRPr="005C1157">
        <w:rPr>
          <w:rFonts w:cs="Arial"/>
        </w:rPr>
        <w:t>MW cada una y se elegirán según el criterio del menor coste. Podrán participar proyectos nuevos o ya construidos. (GPR 25.08)</w:t>
      </w:r>
      <w:r w:rsidRPr="005C1157">
        <w:rPr>
          <w:rFonts w:cs="Arial"/>
          <w:b/>
        </w:rPr>
        <w:t xml:space="preserve"> </w:t>
      </w:r>
    </w:p>
    <w:p w:rsidR="005C1157" w:rsidRPr="005C1157" w:rsidRDefault="005C1157" w:rsidP="001816A4">
      <w:pPr>
        <w:numPr>
          <w:ilvl w:val="0"/>
          <w:numId w:val="35"/>
        </w:numPr>
        <w:spacing w:before="100" w:beforeAutospacing="1" w:line="276" w:lineRule="auto"/>
        <w:ind w:left="284" w:hanging="284"/>
        <w:rPr>
          <w:rFonts w:cs="Arial"/>
        </w:rPr>
      </w:pPr>
      <w:r w:rsidRPr="005C1157">
        <w:rPr>
          <w:rFonts w:cs="Arial"/>
          <w:b/>
        </w:rPr>
        <w:t xml:space="preserve">California PUC aprueba una normativa para impulsar el desarrollo del vehículo eléctrico. </w:t>
      </w:r>
      <w:r w:rsidRPr="005C1157">
        <w:rPr>
          <w:rFonts w:cs="Arial"/>
        </w:rPr>
        <w:t xml:space="preserve">El sector transporte supone el 38% de las emisiones por lo que este plan servirá para reducir las emisiones en el Estado. Con este plan se establece una colaboración entre constructores y empresas energéticas para desarrollar sistemas de recarga de estos vehículos. (GPR 21.07) </w:t>
      </w:r>
    </w:p>
    <w:p w:rsidR="005C1157" w:rsidRPr="005C1157" w:rsidRDefault="005C1157" w:rsidP="001816A4">
      <w:pPr>
        <w:numPr>
          <w:ilvl w:val="0"/>
          <w:numId w:val="35"/>
        </w:numPr>
        <w:spacing w:before="100" w:beforeAutospacing="1" w:line="276" w:lineRule="auto"/>
        <w:ind w:left="284" w:hanging="284"/>
        <w:rPr>
          <w:rFonts w:cs="Arial"/>
        </w:rPr>
      </w:pPr>
      <w:r w:rsidRPr="005C1157">
        <w:rPr>
          <w:rFonts w:cs="Arial"/>
          <w:b/>
        </w:rPr>
        <w:t xml:space="preserve">Se establece una task force en South Dakota para impulsar el desarrollo de la eólica en el estado: </w:t>
      </w:r>
      <w:r w:rsidRPr="005C1157">
        <w:rPr>
          <w:rFonts w:cs="Arial"/>
        </w:rPr>
        <w:t xml:space="preserve">este grupo intentará hacer a la eólica más competitiva respecto a los estados vecinos mediante mejoras en incentivos fiscales, impuestos y desarrollo de redes. El grupo afirma que la falta de redes y las tasas estatales impiden la construcción de parques eólicos en el Estado. Las recomendaciones de este grupo se enviarán a los legisladores estatales. (GPR 04.08) </w:t>
      </w:r>
    </w:p>
    <w:p w:rsidR="005C1157" w:rsidRPr="005C1157" w:rsidRDefault="005C1157" w:rsidP="001816A4">
      <w:pPr>
        <w:numPr>
          <w:ilvl w:val="0"/>
          <w:numId w:val="35"/>
        </w:numPr>
        <w:spacing w:before="100" w:beforeAutospacing="1" w:line="276" w:lineRule="auto"/>
        <w:ind w:left="284" w:hanging="284"/>
        <w:rPr>
          <w:rFonts w:cs="Arial"/>
        </w:rPr>
      </w:pPr>
      <w:r w:rsidRPr="005C1157">
        <w:rPr>
          <w:rFonts w:cs="Arial"/>
          <w:b/>
        </w:rPr>
        <w:t xml:space="preserve">El gobernador de Illinois aprueba legislación para desarrollar eólica terrestre y marina. </w:t>
      </w:r>
      <w:r w:rsidRPr="005C1157">
        <w:rPr>
          <w:rFonts w:cs="Arial"/>
        </w:rPr>
        <w:t>Este estado tiene uno de los RSP más agresivos que obliga a las empresas a que el 25% de sus necesidades energéticas provengan de renovables. Illinois tiene más de 2.500</w:t>
      </w:r>
      <w:r w:rsidR="00525C5D">
        <w:rPr>
          <w:rFonts w:cs="Arial"/>
        </w:rPr>
        <w:t xml:space="preserve"> </w:t>
      </w:r>
      <w:r w:rsidRPr="005C1157">
        <w:rPr>
          <w:rFonts w:cs="Arial"/>
        </w:rPr>
        <w:t>MW instalados de eólica y están en proceso más de 3.500</w:t>
      </w:r>
      <w:r w:rsidR="00525C5D">
        <w:rPr>
          <w:rFonts w:cs="Arial"/>
        </w:rPr>
        <w:t xml:space="preserve"> </w:t>
      </w:r>
      <w:r w:rsidRPr="005C1157">
        <w:rPr>
          <w:rFonts w:cs="Arial"/>
        </w:rPr>
        <w:t xml:space="preserve">MW. La nueva legislación clarificará además los procesos de la eólica offshore. (GPR 11.08). </w:t>
      </w:r>
    </w:p>
    <w:p w:rsidR="005C1157" w:rsidRPr="005C1157" w:rsidRDefault="005C1157" w:rsidP="001816A4">
      <w:pPr>
        <w:numPr>
          <w:ilvl w:val="0"/>
          <w:numId w:val="35"/>
        </w:numPr>
        <w:spacing w:before="100" w:beforeAutospacing="1" w:line="276" w:lineRule="auto"/>
        <w:ind w:left="284" w:hanging="284"/>
        <w:rPr>
          <w:rFonts w:cs="Arial"/>
        </w:rPr>
      </w:pPr>
      <w:r w:rsidRPr="005C1157">
        <w:rPr>
          <w:rFonts w:cs="Arial"/>
          <w:b/>
        </w:rPr>
        <w:lastRenderedPageBreak/>
        <w:t xml:space="preserve">Bajo la administración de Obama, el DOE ha comprometido 28.500 millones USD en garantías de préstamos y ayudas financieras </w:t>
      </w:r>
      <w:r w:rsidRPr="005C1157">
        <w:rPr>
          <w:rFonts w:cs="Arial"/>
        </w:rPr>
        <w:t xml:space="preserve">para proyectos de renovables desde febrero de 2009. Los mayores receptores de las ayudas han sido los inversores de eólica. La financiación se ha producido bajo la American Recovery investment Act. (GPR 11.08). </w:t>
      </w:r>
    </w:p>
    <w:p w:rsidR="005C1157" w:rsidRPr="005C1157" w:rsidRDefault="005C1157" w:rsidP="001816A4">
      <w:pPr>
        <w:numPr>
          <w:ilvl w:val="0"/>
          <w:numId w:val="35"/>
        </w:numPr>
        <w:spacing w:before="100" w:beforeAutospacing="1" w:line="276" w:lineRule="auto"/>
        <w:ind w:left="284" w:hanging="284"/>
        <w:rPr>
          <w:rFonts w:cs="Arial"/>
        </w:rPr>
      </w:pPr>
      <w:r w:rsidRPr="005C1157">
        <w:rPr>
          <w:rFonts w:cs="Arial"/>
          <w:b/>
        </w:rPr>
        <w:t xml:space="preserve">Canadá anuncia que abandonará la generación con carbón convencional en 2015. </w:t>
      </w:r>
      <w:r w:rsidRPr="005C1157">
        <w:rPr>
          <w:rFonts w:cs="Arial"/>
        </w:rPr>
        <w:t>El carbón representa el 10% de la capacidad instalada en Canadá de 13.741</w:t>
      </w:r>
      <w:r w:rsidR="00525C5D">
        <w:rPr>
          <w:rFonts w:cs="Arial"/>
        </w:rPr>
        <w:t xml:space="preserve"> </w:t>
      </w:r>
      <w:r w:rsidRPr="005C1157">
        <w:rPr>
          <w:rFonts w:cs="Arial"/>
        </w:rPr>
        <w:t xml:space="preserve">MW. la supresión se realizará aprovechando el cierre de varias centrales que quedaran obsoletas y sustituyéndolas por otro tipo de generación, como renovables, tecnologías limpias o captura y secuestro de carbono. (GPR 25.08). </w:t>
      </w:r>
    </w:p>
    <w:p w:rsidR="00C87B42" w:rsidRPr="005C1157" w:rsidRDefault="005C1157" w:rsidP="001816A4">
      <w:pPr>
        <w:numPr>
          <w:ilvl w:val="0"/>
          <w:numId w:val="35"/>
        </w:numPr>
        <w:spacing w:before="100" w:beforeAutospacing="1" w:line="276" w:lineRule="auto"/>
        <w:ind w:left="284" w:hanging="284"/>
        <w:rPr>
          <w:rFonts w:cs="Arial"/>
          <w:b/>
        </w:rPr>
      </w:pPr>
      <w:r w:rsidRPr="005C1157">
        <w:rPr>
          <w:rFonts w:cs="Arial"/>
          <w:b/>
        </w:rPr>
        <w:t xml:space="preserve">Texas PUC le pide a ERCOT que realice estudios sobre el impacto de la normativa de control de contaminación de la EPA en el estado. </w:t>
      </w:r>
      <w:r w:rsidRPr="005C1157">
        <w:rPr>
          <w:rFonts w:cs="Arial"/>
        </w:rPr>
        <w:t>La EPA ha propuesto cambios en normativa medioambiental con el objetivo de reducir la contaminación y recortar las emisiones. Esta propuesta de recorte de emisiones de dióxido de azufre y oxido de nitrógeno afectará más a Texas por ser el mayor emisor de esos gases en EEUU. (GPR 14.07). ERCOT teme que esta normativa obligue a cerrar centrales, lo que produciría cortes en el suministro. ERCOT considera que la entrada en vigor de la normativa en enero de 2012 no da tiempo suficiente para implementar normas operativas que aseguren la fiabilidad del sistema. (GPR 21.07).</w:t>
      </w:r>
      <w:r w:rsidRPr="005C1157">
        <w:rPr>
          <w:rFonts w:cs="Arial"/>
          <w:b/>
        </w:rPr>
        <w:t xml:space="preserve"> </w:t>
      </w:r>
    </w:p>
    <w:p w:rsidR="005C1157" w:rsidRPr="005C1157" w:rsidRDefault="00C87B42" w:rsidP="005C1157">
      <w:pPr>
        <w:spacing w:before="100" w:beforeAutospacing="1" w:after="100" w:afterAutospacing="1" w:line="276" w:lineRule="auto"/>
        <w:rPr>
          <w:b/>
          <w:i/>
          <w:szCs w:val="20"/>
        </w:rPr>
      </w:pPr>
      <w:r w:rsidRPr="00C87B42">
        <w:rPr>
          <w:b/>
          <w:i/>
          <w:szCs w:val="20"/>
        </w:rPr>
        <w:t>Norteamérica – Regulación y legislación</w:t>
      </w:r>
    </w:p>
    <w:p w:rsidR="005C1157" w:rsidRPr="00621734" w:rsidRDefault="005C1157" w:rsidP="001816A4">
      <w:pPr>
        <w:numPr>
          <w:ilvl w:val="0"/>
          <w:numId w:val="36"/>
        </w:numPr>
        <w:spacing w:before="100" w:beforeAutospacing="1" w:line="276" w:lineRule="auto"/>
        <w:ind w:left="641" w:hanging="284"/>
        <w:rPr>
          <w:rFonts w:cs="Arial"/>
        </w:rPr>
      </w:pPr>
      <w:r w:rsidRPr="005C1157">
        <w:rPr>
          <w:rFonts w:cs="Arial"/>
          <w:b/>
        </w:rPr>
        <w:t xml:space="preserve">El comité de gastos de la cámara de representantes ha aprobado la ley de gastos de 2012, la cual recortará el presupuesto de la EPA </w:t>
      </w:r>
      <w:r w:rsidRPr="00621734">
        <w:rPr>
          <w:rFonts w:cs="Arial"/>
        </w:rPr>
        <w:t>en 7.100</w:t>
      </w:r>
      <w:r w:rsidR="00525C5D">
        <w:rPr>
          <w:rFonts w:cs="Arial"/>
        </w:rPr>
        <w:t xml:space="preserve"> </w:t>
      </w:r>
      <w:r w:rsidRPr="00621734">
        <w:rPr>
          <w:rFonts w:cs="Arial"/>
        </w:rPr>
        <w:t>millones USD además de retrasar por un año la normativa que limita las emisiones de GEI de los grandes contaminadores industriales como centrales energéticas o refinerías, y prohíbe a la EPA regular sobre las emisiones de los vehículos posteriores a 2016. Además</w:t>
      </w:r>
      <w:r w:rsidR="00525C5D">
        <w:rPr>
          <w:rFonts w:cs="Arial"/>
        </w:rPr>
        <w:t>,</w:t>
      </w:r>
      <w:r w:rsidRPr="00621734">
        <w:rPr>
          <w:rFonts w:cs="Arial"/>
        </w:rPr>
        <w:t xml:space="preserve"> anula la decisión de prohibir la minería de Uranio cerca del Gran Cañón en Arizona. (Bloomberg, 14.07). </w:t>
      </w:r>
    </w:p>
    <w:p w:rsidR="005C1157" w:rsidRPr="00621734" w:rsidRDefault="005C1157" w:rsidP="001816A4">
      <w:pPr>
        <w:numPr>
          <w:ilvl w:val="0"/>
          <w:numId w:val="36"/>
        </w:numPr>
        <w:spacing w:before="100" w:beforeAutospacing="1" w:line="276" w:lineRule="auto"/>
        <w:ind w:left="641" w:hanging="284"/>
        <w:rPr>
          <w:rFonts w:cs="Arial"/>
        </w:rPr>
      </w:pPr>
      <w:r w:rsidRPr="005C1157">
        <w:rPr>
          <w:rFonts w:cs="Arial"/>
          <w:b/>
        </w:rPr>
        <w:t xml:space="preserve">Un grupo de 34 senadores le pide a la EPA que retrase el establecimiento de los estrictos estándares de ozono a 2013, </w:t>
      </w:r>
      <w:r w:rsidRPr="00621734">
        <w:rPr>
          <w:rFonts w:cs="Arial"/>
        </w:rPr>
        <w:t xml:space="preserve">ya que afectará a energéticas, fabricantes y otros sectores emisores. La EPA afirma que hará públicos estos estándares en breve, probablemente durante 2011. (GPR 04.08) </w:t>
      </w:r>
    </w:p>
    <w:p w:rsidR="005C1157" w:rsidRPr="00621734" w:rsidRDefault="005C1157" w:rsidP="001816A4">
      <w:pPr>
        <w:numPr>
          <w:ilvl w:val="0"/>
          <w:numId w:val="36"/>
        </w:numPr>
        <w:spacing w:before="100" w:beforeAutospacing="1" w:line="276" w:lineRule="auto"/>
        <w:ind w:left="641" w:hanging="284"/>
        <w:rPr>
          <w:rFonts w:cs="Arial"/>
        </w:rPr>
      </w:pPr>
      <w:r w:rsidRPr="005C1157">
        <w:rPr>
          <w:rFonts w:cs="Arial"/>
          <w:b/>
        </w:rPr>
        <w:t xml:space="preserve">La Cámara de representantes aprueba una ley energética que recorta los gastos en 6.000 millones USD menos de lo pedido por Obama: </w:t>
      </w:r>
      <w:r w:rsidRPr="00621734">
        <w:rPr>
          <w:rFonts w:cs="Arial"/>
        </w:rPr>
        <w:t xml:space="preserve">Esta Ley contempla ayudas a las renovables de 1.300 millones USD, que suponen unos 491 millones USD menos que el año anterior. Además se aumenta el importe destinado a programas de seguridad nuclear hasta 10.600 millones USD. (Government of USA, HR 2354, 08.07) </w:t>
      </w:r>
    </w:p>
    <w:p w:rsidR="005C1157" w:rsidRPr="00621734" w:rsidRDefault="005C1157" w:rsidP="001816A4">
      <w:pPr>
        <w:numPr>
          <w:ilvl w:val="0"/>
          <w:numId w:val="36"/>
        </w:numPr>
        <w:spacing w:before="100" w:beforeAutospacing="1" w:line="276" w:lineRule="auto"/>
        <w:ind w:left="641" w:hanging="284"/>
        <w:rPr>
          <w:rFonts w:cs="Arial"/>
        </w:rPr>
      </w:pPr>
      <w:r w:rsidRPr="005C1157">
        <w:rPr>
          <w:rFonts w:cs="Arial"/>
          <w:b/>
        </w:rPr>
        <w:t xml:space="preserve">Obama le pide a la FERC y a varias agencias ejecutivas que revisen y hagan más eficientes sus legislaciones, </w:t>
      </w:r>
      <w:r w:rsidRPr="00621734">
        <w:rPr>
          <w:rFonts w:cs="Arial"/>
        </w:rPr>
        <w:t>de modo que éstas protejan la salud pública, el bienestar y el medioambiente mientras fomenten el crecimiento económico, la innovación, competitividad y creación de empleo. (GPR 14.07)</w:t>
      </w:r>
    </w:p>
    <w:p w:rsidR="005C1157" w:rsidRPr="005C1157" w:rsidRDefault="005C1157" w:rsidP="001816A4">
      <w:pPr>
        <w:numPr>
          <w:ilvl w:val="0"/>
          <w:numId w:val="36"/>
        </w:numPr>
        <w:spacing w:before="100" w:beforeAutospacing="1" w:line="276" w:lineRule="auto"/>
        <w:ind w:left="641" w:hanging="284"/>
        <w:rPr>
          <w:rFonts w:cs="Arial"/>
          <w:b/>
        </w:rPr>
      </w:pPr>
      <w:r w:rsidRPr="005C1157">
        <w:rPr>
          <w:rFonts w:cs="Arial"/>
          <w:b/>
        </w:rPr>
        <w:t xml:space="preserve">Varios operadores de redes norteamericanos buscan establecer políticas de gestión de riesgos, </w:t>
      </w:r>
      <w:r w:rsidRPr="00621734">
        <w:rPr>
          <w:rFonts w:cs="Arial"/>
        </w:rPr>
        <w:t>de esta manera verificarán que las empresas participantes en los mercados de derechos de transporte financieros (Financial Transmission Rigths) tienen políticas de gestión de riesgos. (GPR 21.07)</w:t>
      </w:r>
      <w:r w:rsidRPr="005C1157">
        <w:rPr>
          <w:rFonts w:cs="Arial"/>
          <w:b/>
        </w:rPr>
        <w:t xml:space="preserve"> </w:t>
      </w:r>
    </w:p>
    <w:p w:rsidR="005C1157" w:rsidRDefault="005C1157" w:rsidP="001816A4">
      <w:pPr>
        <w:numPr>
          <w:ilvl w:val="0"/>
          <w:numId w:val="36"/>
        </w:numPr>
        <w:spacing w:before="100" w:beforeAutospacing="1" w:line="276" w:lineRule="auto"/>
        <w:ind w:left="641" w:hanging="284"/>
        <w:rPr>
          <w:rFonts w:cs="Arial"/>
        </w:rPr>
      </w:pPr>
      <w:r w:rsidRPr="005C1157">
        <w:rPr>
          <w:rFonts w:cs="Arial"/>
          <w:b/>
        </w:rPr>
        <w:t xml:space="preserve">La CFTC (Commodity Futures Trading Commission) presenta a consulta pública la posibilidad de someter los swaps energéticos a las normas obligatorias de liquidación prevalecientes en </w:t>
      </w:r>
      <w:r w:rsidRPr="005C1157">
        <w:rPr>
          <w:rFonts w:cs="Arial"/>
          <w:b/>
        </w:rPr>
        <w:lastRenderedPageBreak/>
        <w:t xml:space="preserve">las transacciones financieras semejantes. </w:t>
      </w:r>
      <w:r w:rsidRPr="00621734">
        <w:rPr>
          <w:rFonts w:cs="Arial"/>
        </w:rPr>
        <w:t>La CFTC debe determinar si ciertos swaps energéticos o no se liquiden y controlen bajo su normativa. (GPR 04.08). Por su parte,</w:t>
      </w:r>
      <w:r w:rsidRPr="005C1157">
        <w:rPr>
          <w:rFonts w:cs="Arial"/>
          <w:b/>
        </w:rPr>
        <w:t xml:space="preserve"> varios grupos han enviado cartas a CTFC pidiendo la exclusión de las transacciones medioambientales de la regulación de los swaps </w:t>
      </w:r>
      <w:r w:rsidRPr="00621734">
        <w:rPr>
          <w:rFonts w:cs="Arial"/>
        </w:rPr>
        <w:t xml:space="preserve">al considerara que éstas no representan un riesgo en el sistema financiero estadounidense. (RER 08.08) </w:t>
      </w:r>
    </w:p>
    <w:p w:rsidR="00C87B42" w:rsidRPr="00C87B42" w:rsidRDefault="00C87B42" w:rsidP="00C87B42">
      <w:pPr>
        <w:spacing w:before="100" w:beforeAutospacing="1" w:after="100" w:afterAutospacing="1" w:line="276" w:lineRule="auto"/>
        <w:rPr>
          <w:b/>
          <w:i/>
          <w:szCs w:val="20"/>
        </w:rPr>
      </w:pPr>
      <w:r w:rsidRPr="00C87B42">
        <w:rPr>
          <w:b/>
          <w:i/>
          <w:szCs w:val="20"/>
        </w:rPr>
        <w:t>Norteamérica – Tarifas, precios y protección al consumidor</w:t>
      </w:r>
    </w:p>
    <w:p w:rsidR="000442DE" w:rsidRPr="000442DE" w:rsidRDefault="000442DE" w:rsidP="001816A4">
      <w:pPr>
        <w:numPr>
          <w:ilvl w:val="0"/>
          <w:numId w:val="37"/>
        </w:numPr>
        <w:spacing w:before="120" w:line="276" w:lineRule="auto"/>
        <w:ind w:left="284" w:hanging="284"/>
        <w:rPr>
          <w:rFonts w:cs="Arial"/>
        </w:rPr>
      </w:pPr>
      <w:r w:rsidRPr="000442DE">
        <w:rPr>
          <w:rFonts w:cs="Arial"/>
          <w:b/>
        </w:rPr>
        <w:t>El cierre de la central nuclear Indian Point de 2.040</w:t>
      </w:r>
      <w:r w:rsidR="00525C5D">
        <w:rPr>
          <w:rFonts w:cs="Arial"/>
          <w:b/>
        </w:rPr>
        <w:t xml:space="preserve"> </w:t>
      </w:r>
      <w:r w:rsidRPr="000442DE">
        <w:rPr>
          <w:rFonts w:cs="Arial"/>
          <w:b/>
        </w:rPr>
        <w:t xml:space="preserve">MW, aumentará los precios en el estado de New York, </w:t>
      </w:r>
      <w:r w:rsidRPr="000442DE">
        <w:rPr>
          <w:rFonts w:cs="Arial"/>
        </w:rPr>
        <w:t xml:space="preserve">además de provocar un aumento de las emisiones y problemas de red, según el informe elaborado por una consultora para la </w:t>
      </w:r>
      <w:r w:rsidRPr="00525C5D">
        <w:t>agencia</w:t>
      </w:r>
      <w:r w:rsidRPr="000442DE">
        <w:rPr>
          <w:rFonts w:cs="Arial"/>
        </w:rPr>
        <w:t xml:space="preserve"> medi</w:t>
      </w:r>
      <w:r w:rsidR="00525C5D">
        <w:rPr>
          <w:rFonts w:cs="Arial"/>
        </w:rPr>
        <w:t>oambiental de la ciudad de NY. E</w:t>
      </w:r>
      <w:r w:rsidRPr="000442DE">
        <w:rPr>
          <w:rFonts w:cs="Arial"/>
        </w:rPr>
        <w:t xml:space="preserve">ste informe estima una subida de un 10% hasta 2030 debido al cierre. (GPR 11.08). </w:t>
      </w:r>
    </w:p>
    <w:p w:rsidR="00C87B42" w:rsidRPr="00C87B42" w:rsidRDefault="00C87B42" w:rsidP="00C87B42">
      <w:pPr>
        <w:spacing w:before="100" w:beforeAutospacing="1" w:after="100" w:afterAutospacing="1" w:line="276" w:lineRule="auto"/>
        <w:rPr>
          <w:b/>
          <w:i/>
          <w:szCs w:val="20"/>
        </w:rPr>
      </w:pPr>
      <w:r w:rsidRPr="00C87B42">
        <w:rPr>
          <w:b/>
          <w:i/>
          <w:szCs w:val="20"/>
        </w:rPr>
        <w:t>Norteamérica – Redes y Garantía de suministro</w:t>
      </w:r>
    </w:p>
    <w:p w:rsidR="000442DE" w:rsidRPr="000442DE" w:rsidRDefault="000442DE" w:rsidP="001816A4">
      <w:pPr>
        <w:numPr>
          <w:ilvl w:val="0"/>
          <w:numId w:val="38"/>
        </w:numPr>
        <w:spacing w:before="100" w:beforeAutospacing="1" w:line="276" w:lineRule="auto"/>
        <w:ind w:left="284" w:hanging="284"/>
        <w:rPr>
          <w:b/>
          <w:lang w:val="es-ES_tradnl"/>
        </w:rPr>
      </w:pPr>
      <w:r w:rsidRPr="000442DE">
        <w:rPr>
          <w:b/>
          <w:lang w:val="es-ES_tradnl"/>
        </w:rPr>
        <w:t xml:space="preserve">La FERC aprueba la interconexión Hudson que va desde New Jersey hasta la ciudad de New York, </w:t>
      </w:r>
      <w:r w:rsidRPr="000442DE">
        <w:rPr>
          <w:lang w:val="es-ES_tradnl"/>
        </w:rPr>
        <w:t>en contra de los deseos de la New Jersey Board of Public Utilities. La NJBPU estaba en contra del proyecto al afirmar que su construcción haría permanentemente indisponible la energía para el norte de New Jersey y para el resto de la interconexión de PJM, lo que aumentaría los problemas de suministro que ya sufre la zona.</w:t>
      </w:r>
      <w:r w:rsidR="00525C5D">
        <w:rPr>
          <w:lang w:val="es-ES_tradnl"/>
        </w:rPr>
        <w:t xml:space="preserve"> </w:t>
      </w:r>
      <w:r w:rsidRPr="000442DE">
        <w:rPr>
          <w:lang w:val="es-ES_tradnl"/>
        </w:rPr>
        <w:t>(GPR 07.07).</w:t>
      </w:r>
      <w:r w:rsidRPr="000442DE">
        <w:rPr>
          <w:b/>
          <w:lang w:val="es-ES_tradnl"/>
        </w:rPr>
        <w:t xml:space="preserve"> </w:t>
      </w:r>
    </w:p>
    <w:p w:rsidR="000442DE" w:rsidRPr="000442DE" w:rsidRDefault="000442DE" w:rsidP="001816A4">
      <w:pPr>
        <w:numPr>
          <w:ilvl w:val="0"/>
          <w:numId w:val="38"/>
        </w:numPr>
        <w:spacing w:before="100" w:beforeAutospacing="1" w:line="276" w:lineRule="auto"/>
        <w:ind w:left="284" w:hanging="284"/>
        <w:rPr>
          <w:lang w:val="es-ES_tradnl"/>
        </w:rPr>
      </w:pPr>
      <w:r w:rsidRPr="000442DE">
        <w:rPr>
          <w:b/>
          <w:lang w:val="es-ES_tradnl"/>
        </w:rPr>
        <w:t xml:space="preserve">La FERC aprueba la norma de asignación de costes diseñada para remover las barreras en los proyectos de transporte: </w:t>
      </w:r>
      <w:r w:rsidRPr="000442DE">
        <w:rPr>
          <w:lang w:val="es-ES_tradnl"/>
        </w:rPr>
        <w:t xml:space="preserve">la Norma (Docket No.RM10-23) busca impulsar la construcción y planificación de las redes. Establece tres requisitos para los proyectos de transporte: 1. cada empresa de transporte deberá participar en los procesos de planificación regional; 2.la planificación debe tener en cuenta los requisitos de la normativa federal o regional; 3.se deben coordinar las empresas de transporte para determinar las soluciones más adecuadas entre dos regiones. La norma proporciona seis principios para el reparto de los costes además de una medida adicional sobre la modificación de las tarifas por el transportista cuando un proyecto de transporte se retrase. (GPR 28.07) </w:t>
      </w:r>
    </w:p>
    <w:p w:rsidR="000442DE" w:rsidRPr="000442DE" w:rsidRDefault="000442DE" w:rsidP="001816A4">
      <w:pPr>
        <w:numPr>
          <w:ilvl w:val="0"/>
          <w:numId w:val="38"/>
        </w:numPr>
        <w:spacing w:before="100" w:beforeAutospacing="1" w:line="276" w:lineRule="auto"/>
        <w:ind w:left="284" w:hanging="284"/>
        <w:rPr>
          <w:b/>
          <w:lang w:val="es-ES_tradnl"/>
        </w:rPr>
      </w:pPr>
      <w:r w:rsidRPr="000442DE">
        <w:rPr>
          <w:b/>
          <w:lang w:val="es-ES_tradnl"/>
        </w:rPr>
        <w:t xml:space="preserve">Asociaciones de reguladores le piden a la FERC que revise el sistema de incentivos al transporte: </w:t>
      </w:r>
      <w:r w:rsidRPr="000442DE">
        <w:rPr>
          <w:lang w:val="es-ES_tradnl"/>
        </w:rPr>
        <w:t>MISO y SPP entre otros, le han pedido a la FERC que revise el sistema de incentivos, que consideran que han sido concedidos hasta la fecha de manera generosa. Estos creen que la política de incentivos y reparto de costes está distorsionando las decisiones de inversión del transporte por lo que algunos inversores reciben más ayudas de las necesarias. (GPR 14.08)</w:t>
      </w:r>
      <w:r w:rsidRPr="000442DE">
        <w:rPr>
          <w:b/>
          <w:lang w:val="es-ES_tradnl"/>
        </w:rPr>
        <w:t xml:space="preserve"> </w:t>
      </w:r>
    </w:p>
    <w:p w:rsidR="00C87B42" w:rsidRPr="00C87B42" w:rsidRDefault="00C87B42" w:rsidP="00C87B42">
      <w:pPr>
        <w:spacing w:before="100" w:beforeAutospacing="1" w:after="100" w:afterAutospacing="1" w:line="276" w:lineRule="auto"/>
        <w:rPr>
          <w:b/>
          <w:i/>
          <w:szCs w:val="20"/>
        </w:rPr>
      </w:pPr>
      <w:r w:rsidRPr="00C87B42">
        <w:rPr>
          <w:b/>
          <w:i/>
          <w:szCs w:val="20"/>
        </w:rPr>
        <w:t>Norteamérica – Mercados</w:t>
      </w:r>
    </w:p>
    <w:p w:rsidR="000442DE" w:rsidRPr="000442DE" w:rsidRDefault="000442DE" w:rsidP="001816A4">
      <w:pPr>
        <w:numPr>
          <w:ilvl w:val="0"/>
          <w:numId w:val="39"/>
        </w:numPr>
        <w:spacing w:before="100" w:beforeAutospacing="1" w:line="276" w:lineRule="auto"/>
        <w:ind w:left="284" w:hanging="284"/>
        <w:rPr>
          <w:lang w:val="es-ES_tradnl"/>
        </w:rPr>
      </w:pPr>
      <w:r w:rsidRPr="000442DE">
        <w:rPr>
          <w:b/>
          <w:lang w:val="es-ES_tradnl"/>
        </w:rPr>
        <w:t xml:space="preserve">La FERC amplía el plazo al ISO New England para la elaboración de la nueva normativa sobre medidas de compensación por la respuesta de demanda (demand response). </w:t>
      </w:r>
      <w:r w:rsidRPr="000442DE">
        <w:rPr>
          <w:lang w:val="es-ES_tradnl"/>
        </w:rPr>
        <w:t>La FERC publicó una norma en marzo por la cual los ISO’s y RTO’s deben compensar a los suministradores de potencia el precio de mercado por la energía, (conocido como el locational market price), siempre que esas fuentes tengan la capacidad de equilibrar la oferta y la demanda como alternativa a otra fuente de generación y siempre que sean efectivas en el coste</w:t>
      </w:r>
      <w:r w:rsidR="00525C5D">
        <w:rPr>
          <w:lang w:val="es-ES_tradnl"/>
        </w:rPr>
        <w:t>.</w:t>
      </w:r>
      <w:r w:rsidRPr="000442DE">
        <w:rPr>
          <w:lang w:val="es-ES_tradnl"/>
        </w:rPr>
        <w:t xml:space="preserve"> (GPR 23.06) </w:t>
      </w:r>
    </w:p>
    <w:p w:rsidR="000442DE" w:rsidRPr="000442DE" w:rsidRDefault="000442DE" w:rsidP="001816A4">
      <w:pPr>
        <w:numPr>
          <w:ilvl w:val="0"/>
          <w:numId w:val="39"/>
        </w:numPr>
        <w:spacing w:before="100" w:beforeAutospacing="1" w:line="276" w:lineRule="auto"/>
        <w:ind w:left="284" w:hanging="284"/>
        <w:rPr>
          <w:lang w:val="es-ES_tradnl"/>
        </w:rPr>
      </w:pPr>
      <w:r w:rsidRPr="000442DE">
        <w:rPr>
          <w:b/>
          <w:lang w:val="es-ES_tradnl"/>
        </w:rPr>
        <w:t xml:space="preserve">El record de temperaturas de Texas este verano, pone de manifiesto el delicado equilibro oferta-demanda: </w:t>
      </w:r>
      <w:r w:rsidRPr="000442DE">
        <w:rPr>
          <w:lang w:val="es-ES_tradnl"/>
        </w:rPr>
        <w:t xml:space="preserve">este suceso de calor como el suceso de frio del pasado invierno han puesto de manifiesto este problema, que además provoca que en determinados momentos en lo que el precio del </w:t>
      </w:r>
      <w:r w:rsidRPr="000442DE">
        <w:rPr>
          <w:lang w:val="es-ES_tradnl"/>
        </w:rPr>
        <w:lastRenderedPageBreak/>
        <w:t>mercado diario alcanzase los 600</w:t>
      </w:r>
      <w:r w:rsidR="00525C5D">
        <w:rPr>
          <w:lang w:val="es-ES_tradnl"/>
        </w:rPr>
        <w:t xml:space="preserve"> </w:t>
      </w:r>
      <w:r w:rsidRPr="000442DE">
        <w:rPr>
          <w:lang w:val="es-ES_tradnl"/>
        </w:rPr>
        <w:t>USD/MWh e incluso los precios del mercado en tiempo real alcanzasen los 3.000</w:t>
      </w:r>
      <w:r w:rsidR="00525C5D">
        <w:rPr>
          <w:lang w:val="es-ES_tradnl"/>
        </w:rPr>
        <w:t xml:space="preserve"> </w:t>
      </w:r>
      <w:r w:rsidRPr="000442DE">
        <w:rPr>
          <w:lang w:val="es-ES_tradnl"/>
        </w:rPr>
        <w:t xml:space="preserve">USD/MWh. (GPR 18.08) </w:t>
      </w:r>
    </w:p>
    <w:p w:rsidR="000442DE" w:rsidRPr="000442DE" w:rsidRDefault="000442DE" w:rsidP="001816A4">
      <w:pPr>
        <w:numPr>
          <w:ilvl w:val="0"/>
          <w:numId w:val="39"/>
        </w:numPr>
        <w:spacing w:before="100" w:beforeAutospacing="1" w:line="276" w:lineRule="auto"/>
        <w:ind w:left="284" w:hanging="284"/>
        <w:rPr>
          <w:lang w:val="es-ES_tradnl"/>
        </w:rPr>
      </w:pPr>
      <w:r w:rsidRPr="000442DE">
        <w:rPr>
          <w:b/>
          <w:lang w:val="es-ES_tradnl"/>
        </w:rPr>
        <w:t xml:space="preserve">La FERC y la NERC revelan en </w:t>
      </w:r>
      <w:r w:rsidRPr="00525C5D">
        <w:rPr>
          <w:b/>
          <w:lang w:val="es-ES_tradnl"/>
        </w:rPr>
        <w:t xml:space="preserve">un </w:t>
      </w:r>
      <w:hyperlink r:id="rId9" w:history="1">
        <w:r w:rsidRPr="00525C5D">
          <w:rPr>
            <w:b/>
          </w:rPr>
          <w:t>estudio</w:t>
        </w:r>
      </w:hyperlink>
      <w:r w:rsidRPr="00525C5D">
        <w:rPr>
          <w:b/>
          <w:lang w:val="es-ES_tradnl"/>
        </w:rPr>
        <w:t xml:space="preserve"> que</w:t>
      </w:r>
      <w:r w:rsidRPr="000442DE">
        <w:rPr>
          <w:b/>
          <w:lang w:val="es-ES_tradnl"/>
        </w:rPr>
        <w:t xml:space="preserve"> ERCOT debería aumentar la generación disponible en reserva durante situaciones de tiempo extremo </w:t>
      </w:r>
      <w:r w:rsidRPr="000442DE">
        <w:rPr>
          <w:lang w:val="es-ES_tradnl"/>
        </w:rPr>
        <w:t>y pedir a la industria que incorpore medidas contra el invierno. Además ERCOT debería cambiar sus procesos de verificación de capacidad disponible en situaciones de frio extremo</w:t>
      </w:r>
      <w:r w:rsidR="00525C5D">
        <w:rPr>
          <w:lang w:val="es-ES_tradnl"/>
        </w:rPr>
        <w:t>.</w:t>
      </w:r>
      <w:r w:rsidRPr="000442DE">
        <w:rPr>
          <w:lang w:val="es-ES_tradnl"/>
        </w:rPr>
        <w:t xml:space="preserve"> (GPR 18.08) </w:t>
      </w:r>
    </w:p>
    <w:p w:rsidR="00C87B42" w:rsidRPr="00C87B42" w:rsidRDefault="00C87B42" w:rsidP="009F07D2">
      <w:pPr>
        <w:keepNext/>
        <w:spacing w:before="100" w:beforeAutospacing="1" w:after="100" w:afterAutospacing="1" w:line="276" w:lineRule="auto"/>
        <w:rPr>
          <w:b/>
          <w:i/>
          <w:szCs w:val="20"/>
        </w:rPr>
      </w:pPr>
      <w:r w:rsidRPr="00C87B42">
        <w:rPr>
          <w:b/>
          <w:i/>
          <w:szCs w:val="20"/>
        </w:rPr>
        <w:t>Resto del mundo – varios</w:t>
      </w:r>
    </w:p>
    <w:p w:rsidR="000442DE" w:rsidRPr="000442DE" w:rsidRDefault="000442DE" w:rsidP="001816A4">
      <w:pPr>
        <w:numPr>
          <w:ilvl w:val="0"/>
          <w:numId w:val="40"/>
        </w:numPr>
        <w:spacing w:before="100" w:beforeAutospacing="1" w:line="276" w:lineRule="auto"/>
        <w:ind w:left="284" w:hanging="284"/>
        <w:rPr>
          <w:lang w:val="es-ES_tradnl"/>
        </w:rPr>
      </w:pPr>
      <w:r w:rsidRPr="000442DE">
        <w:rPr>
          <w:b/>
          <w:lang w:val="es-ES_tradnl"/>
        </w:rPr>
        <w:t xml:space="preserve">Serbia aprobó a mediados de julio la ley sobre energía, que estará en línea con lo aprobado en la UE. </w:t>
      </w:r>
      <w:r w:rsidRPr="000442DE">
        <w:rPr>
          <w:lang w:val="es-ES_tradnl"/>
        </w:rPr>
        <w:t>La nueva ley facilitará la inversión en energía, y autoriza al regulador serbio a regular los precios de electricidad y gas a partir del próximo año. Además libera el mercado desde 2013 para industriales y desde 2015 para hogares. Las redes permanecerán bajo control estatal. (</w:t>
      </w:r>
      <w:hyperlink r:id="rId10" w:history="1">
        <w:r w:rsidRPr="000442DE">
          <w:rPr>
            <w:rStyle w:val="Hipervnculo"/>
            <w:rFonts w:ascii="Calibri" w:hAnsi="Calibri"/>
            <w:lang w:val="es-ES_tradnl"/>
          </w:rPr>
          <w:t>www.b92.net</w:t>
        </w:r>
      </w:hyperlink>
      <w:r w:rsidRPr="000442DE">
        <w:rPr>
          <w:lang w:val="es-ES_tradnl"/>
        </w:rPr>
        <w:t xml:space="preserve">, 18.07). </w:t>
      </w:r>
      <w:r w:rsidRPr="000442DE">
        <w:rPr>
          <w:b/>
          <w:lang w:val="es-ES_tradnl"/>
        </w:rPr>
        <w:t>Con la aprobación de la nueva ley energética, Serbia liberaliza el sector energético, con un estatus especial a las renovables:</w:t>
      </w:r>
      <w:r w:rsidRPr="000442DE">
        <w:rPr>
          <w:lang w:val="es-ES_tradnl"/>
        </w:rPr>
        <w:t xml:space="preserve"> Serbia quiere facilitar las inversiones a las renovables así como liberalizar el mercado energético. La ley establece que el gobierno deberá aprobar un plan de acciones de renovables par 10 años, y establece una categoría de generadores ‘privilegiados’ de renovables. (RER 08.08)</w:t>
      </w:r>
    </w:p>
    <w:p w:rsidR="000442DE" w:rsidRPr="000442DE" w:rsidRDefault="000442DE" w:rsidP="001816A4">
      <w:pPr>
        <w:numPr>
          <w:ilvl w:val="0"/>
          <w:numId w:val="40"/>
        </w:numPr>
        <w:spacing w:before="100" w:beforeAutospacing="1" w:line="276" w:lineRule="auto"/>
        <w:ind w:left="284" w:hanging="284"/>
        <w:rPr>
          <w:lang w:val="es-ES_tradnl"/>
        </w:rPr>
      </w:pPr>
      <w:r w:rsidRPr="000442DE">
        <w:rPr>
          <w:b/>
          <w:lang w:val="es-ES_tradnl"/>
        </w:rPr>
        <w:t xml:space="preserve">Australia le pone precio a la contaminación. </w:t>
      </w:r>
      <w:r w:rsidRPr="000442DE">
        <w:rPr>
          <w:lang w:val="es-ES_tradnl"/>
        </w:rPr>
        <w:t>A partir de Julio de 2012, cada tonelada de CO2 que se emita costará 23 AUD (24 USD), cantidad que aumentará un 2,5% al año durante 3 años, hasta 2015. Posteriormente se pasará a un mercado de derechos en el que el precio será determinado por el mercado. (Globenet 12.07). Además</w:t>
      </w:r>
      <w:r w:rsidR="00525C5D">
        <w:rPr>
          <w:lang w:val="es-ES_tradnl"/>
        </w:rPr>
        <w:t>,</w:t>
      </w:r>
      <w:r w:rsidRPr="000442DE">
        <w:rPr>
          <w:lang w:val="es-ES_tradnl"/>
        </w:rPr>
        <w:t xml:space="preserve"> </w:t>
      </w:r>
      <w:r w:rsidRPr="000442DE">
        <w:rPr>
          <w:b/>
          <w:lang w:val="es-ES_tradnl"/>
        </w:rPr>
        <w:t>anunció un plan de reducción de emisiones</w:t>
      </w:r>
      <w:r w:rsidRPr="000442DE">
        <w:rPr>
          <w:lang w:val="es-ES_tradnl"/>
        </w:rPr>
        <w:t xml:space="preserve"> en un 5% para 2020 (80% para 2050) respecto a los niveles de 2000, </w:t>
      </w:r>
      <w:r w:rsidRPr="000442DE">
        <w:rPr>
          <w:b/>
          <w:lang w:val="es-ES_tradnl"/>
        </w:rPr>
        <w:t>y la creación de dos agencias</w:t>
      </w:r>
      <w:r w:rsidRPr="000442DE">
        <w:rPr>
          <w:lang w:val="es-ES_tradnl"/>
        </w:rPr>
        <w:t xml:space="preserve"> que proporcionarán ayudas al desarrollo de inversiones y tecnologías renovables por valor de 13.000 millones USD. El país quiere que para 2050 el 50% de la energía provenga de renovables. (GPR 14.07). Mientras</w:t>
      </w:r>
      <w:r w:rsidR="00525C5D">
        <w:rPr>
          <w:lang w:val="es-ES_tradnl"/>
        </w:rPr>
        <w:t>,</w:t>
      </w:r>
      <w:r w:rsidRPr="000442DE">
        <w:rPr>
          <w:lang w:val="es-ES_tradnl"/>
        </w:rPr>
        <w:t xml:space="preserve"> las </w:t>
      </w:r>
      <w:r w:rsidRPr="000442DE">
        <w:rPr>
          <w:b/>
          <w:lang w:val="es-ES_tradnl"/>
        </w:rPr>
        <w:t>compañías mineras y energéticas han lanzado campañas publicitarias contra la legislación sobre el precio de las emisiones desprestigiando la utilidad del sistema.</w:t>
      </w:r>
      <w:r w:rsidRPr="000442DE">
        <w:rPr>
          <w:lang w:val="es-ES_tradnl"/>
        </w:rPr>
        <w:t xml:space="preserve"> (RER 08.08)</w:t>
      </w:r>
    </w:p>
    <w:p w:rsidR="000442DE" w:rsidRPr="000442DE" w:rsidRDefault="000442DE" w:rsidP="001816A4">
      <w:pPr>
        <w:numPr>
          <w:ilvl w:val="0"/>
          <w:numId w:val="40"/>
        </w:numPr>
        <w:spacing w:before="100" w:beforeAutospacing="1" w:line="276" w:lineRule="auto"/>
        <w:ind w:left="284" w:hanging="284"/>
        <w:rPr>
          <w:lang w:val="es-ES_tradnl"/>
        </w:rPr>
      </w:pPr>
      <w:r w:rsidRPr="000442DE">
        <w:rPr>
          <w:b/>
          <w:lang w:val="es-ES_tradnl"/>
        </w:rPr>
        <w:t xml:space="preserve">El gobierno de Chile, tras numerosos vaivenes, toma las riendas en la promoción de las renovables </w:t>
      </w:r>
      <w:r w:rsidRPr="000442DE">
        <w:rPr>
          <w:lang w:val="es-ES_tradnl"/>
        </w:rPr>
        <w:t>y está elaborando una iniciativa parlamentaria para que el 20% de su energía provenga de renovables en 2020. El 13% provendrá de eólica, el 5% de geotérmica y el 3% de biomasa. (RER 11.07)</w:t>
      </w:r>
    </w:p>
    <w:p w:rsidR="000442DE" w:rsidRPr="000442DE" w:rsidRDefault="000442DE" w:rsidP="001816A4">
      <w:pPr>
        <w:numPr>
          <w:ilvl w:val="0"/>
          <w:numId w:val="40"/>
        </w:numPr>
        <w:spacing w:before="100" w:beforeAutospacing="1" w:line="276" w:lineRule="auto"/>
        <w:ind w:left="284" w:hanging="284"/>
        <w:rPr>
          <w:b/>
          <w:lang w:val="es-ES_tradnl"/>
        </w:rPr>
      </w:pPr>
      <w:r w:rsidRPr="000442DE">
        <w:rPr>
          <w:b/>
          <w:lang w:val="es-ES_tradnl"/>
        </w:rPr>
        <w:t xml:space="preserve">El gobierno turco construirá centrales de bombeo con el objetivo de almacenar la energía de eólicas y solares. </w:t>
      </w:r>
      <w:r w:rsidRPr="000442DE">
        <w:rPr>
          <w:lang w:val="es-ES_tradnl"/>
        </w:rPr>
        <w:t xml:space="preserve">Entre 2018 y 2030 estarán operativas 10 centrales de bombeo de 800MW de capacidad. (RER 11.07). Por otra parte, </w:t>
      </w:r>
      <w:r w:rsidRPr="000442DE">
        <w:rPr>
          <w:b/>
          <w:lang w:val="es-ES_tradnl"/>
        </w:rPr>
        <w:t>Turquía hace pública las FIT adicionales para los proyectos que utilicen tecnología fabricada en Turquía:</w:t>
      </w:r>
      <w:r w:rsidRPr="000442DE">
        <w:rPr>
          <w:lang w:val="es-ES_tradnl"/>
        </w:rPr>
        <w:t xml:space="preserve"> la nueva normativa especifica cuáles son los equipos que recibirán esta tarifa suplementaria así como su proceso de verificación. Para la eólica, los constructores recibirán, dependiendo del material entre 0,006</w:t>
      </w:r>
      <w:r w:rsidR="00525C5D">
        <w:rPr>
          <w:lang w:val="es-ES_tradnl"/>
        </w:rPr>
        <w:t xml:space="preserve"> </w:t>
      </w:r>
      <w:r w:rsidRPr="000442DE">
        <w:rPr>
          <w:lang w:val="es-ES_tradnl"/>
        </w:rPr>
        <w:t>$</w:t>
      </w:r>
      <w:r w:rsidR="00525C5D">
        <w:rPr>
          <w:lang w:val="es-ES_tradnl"/>
        </w:rPr>
        <w:t xml:space="preserve"> y</w:t>
      </w:r>
      <w:r w:rsidRPr="000442DE">
        <w:rPr>
          <w:lang w:val="es-ES_tradnl"/>
        </w:rPr>
        <w:t xml:space="preserve"> 0.037</w:t>
      </w:r>
      <w:r w:rsidR="00525C5D">
        <w:rPr>
          <w:lang w:val="es-ES_tradnl"/>
        </w:rPr>
        <w:t xml:space="preserve"> </w:t>
      </w:r>
      <w:r w:rsidRPr="000442DE">
        <w:rPr>
          <w:lang w:val="es-ES_tradnl"/>
        </w:rPr>
        <w:t>$</w:t>
      </w:r>
      <w:r w:rsidR="00525C5D">
        <w:rPr>
          <w:lang w:val="es-ES_tradnl"/>
        </w:rPr>
        <w:t>/</w:t>
      </w:r>
      <w:r w:rsidRPr="000442DE">
        <w:rPr>
          <w:lang w:val="es-ES_tradnl"/>
        </w:rPr>
        <w:t>kWh. (RER 25.07)</w:t>
      </w:r>
    </w:p>
    <w:p w:rsidR="000442DE" w:rsidRPr="000442DE" w:rsidRDefault="000442DE" w:rsidP="001816A4">
      <w:pPr>
        <w:numPr>
          <w:ilvl w:val="0"/>
          <w:numId w:val="40"/>
        </w:numPr>
        <w:spacing w:before="100" w:beforeAutospacing="1" w:line="276" w:lineRule="auto"/>
        <w:ind w:left="284" w:hanging="284"/>
        <w:rPr>
          <w:lang w:val="es-ES_tradnl"/>
        </w:rPr>
      </w:pPr>
      <w:r w:rsidRPr="000442DE">
        <w:rPr>
          <w:b/>
          <w:lang w:val="es-ES_tradnl"/>
        </w:rPr>
        <w:t>Filipinas planea construir 2.155</w:t>
      </w:r>
      <w:r w:rsidR="00525C5D">
        <w:rPr>
          <w:b/>
          <w:lang w:val="es-ES_tradnl"/>
        </w:rPr>
        <w:t xml:space="preserve"> </w:t>
      </w:r>
      <w:r w:rsidRPr="000442DE">
        <w:rPr>
          <w:b/>
          <w:lang w:val="es-ES_tradnl"/>
        </w:rPr>
        <w:t>MW de renovables en 2015, incluyendo 1.048</w:t>
      </w:r>
      <w:r w:rsidR="00525C5D">
        <w:rPr>
          <w:b/>
          <w:lang w:val="es-ES_tradnl"/>
        </w:rPr>
        <w:t xml:space="preserve"> </w:t>
      </w:r>
      <w:r w:rsidRPr="000442DE">
        <w:rPr>
          <w:b/>
          <w:lang w:val="es-ES_tradnl"/>
        </w:rPr>
        <w:t xml:space="preserve">MW de eólica. </w:t>
      </w:r>
      <w:r w:rsidRPr="000442DE">
        <w:rPr>
          <w:lang w:val="es-ES_tradnl"/>
        </w:rPr>
        <w:t>En 2008 se aprobó el Programa Nacional de Renovables pero hasta la fecha no se habían establecido objetivos concretos. Filipinas cuenta con 5.438</w:t>
      </w:r>
      <w:r w:rsidR="00525C5D">
        <w:rPr>
          <w:lang w:val="es-ES_tradnl"/>
        </w:rPr>
        <w:t xml:space="preserve"> </w:t>
      </w:r>
      <w:r w:rsidRPr="000442DE">
        <w:rPr>
          <w:lang w:val="es-ES_tradnl"/>
        </w:rPr>
        <w:t>MW de renovables en la actualidad y se quiere alcanzar los 15.304</w:t>
      </w:r>
      <w:r w:rsidR="00525C5D">
        <w:rPr>
          <w:lang w:val="es-ES_tradnl"/>
        </w:rPr>
        <w:t xml:space="preserve"> </w:t>
      </w:r>
      <w:r w:rsidRPr="000442DE">
        <w:rPr>
          <w:lang w:val="es-ES_tradnl"/>
        </w:rPr>
        <w:t>MW en 2030. (GPR 14.07)</w:t>
      </w:r>
    </w:p>
    <w:p w:rsidR="000442DE" w:rsidRPr="000442DE" w:rsidRDefault="000442DE" w:rsidP="001816A4">
      <w:pPr>
        <w:numPr>
          <w:ilvl w:val="0"/>
          <w:numId w:val="40"/>
        </w:numPr>
        <w:spacing w:before="100" w:beforeAutospacing="1" w:line="276" w:lineRule="auto"/>
        <w:ind w:left="284" w:hanging="284"/>
        <w:rPr>
          <w:lang w:val="es-ES_tradnl"/>
        </w:rPr>
      </w:pPr>
      <w:r w:rsidRPr="000442DE">
        <w:rPr>
          <w:b/>
          <w:lang w:val="es-ES_tradnl"/>
        </w:rPr>
        <w:t>Indonesia construirá 6,7</w:t>
      </w:r>
      <w:r w:rsidR="00525C5D">
        <w:rPr>
          <w:b/>
          <w:lang w:val="es-ES_tradnl"/>
        </w:rPr>
        <w:t xml:space="preserve"> </w:t>
      </w:r>
      <w:r w:rsidRPr="000442DE">
        <w:rPr>
          <w:b/>
          <w:lang w:val="es-ES_tradnl"/>
        </w:rPr>
        <w:t xml:space="preserve">GW de renovables los próximos 15 años, </w:t>
      </w:r>
      <w:r w:rsidRPr="000442DE">
        <w:rPr>
          <w:lang w:val="es-ES_tradnl"/>
        </w:rPr>
        <w:t>de modo que se aumentará la producción con renovables hasta el 15%. Se invertirán unos 15.600 millones USD y se basará principalmente en energía solar y geotérmica. Más del 50% de su generación viene de térmica. (GPR 04.08)</w:t>
      </w:r>
    </w:p>
    <w:p w:rsidR="00C87B42" w:rsidRPr="00625A13" w:rsidRDefault="00C87B42" w:rsidP="00C87B42">
      <w:pPr>
        <w:pStyle w:val="Ttulo2"/>
        <w:rPr>
          <w:rStyle w:val="nfasissutil"/>
          <w:iCs w:val="0"/>
        </w:rPr>
      </w:pPr>
      <w:r>
        <w:rPr>
          <w:rStyle w:val="nfasissutil"/>
          <w:iCs w:val="0"/>
        </w:rPr>
        <w:lastRenderedPageBreak/>
        <w:t>DARÁ QUE HABLAR…</w:t>
      </w:r>
    </w:p>
    <w:p w:rsidR="000442DE" w:rsidRPr="00291B30" w:rsidRDefault="000442DE" w:rsidP="001816A4">
      <w:pPr>
        <w:spacing w:before="100" w:beforeAutospacing="1" w:after="100" w:afterAutospacing="1" w:line="276" w:lineRule="auto"/>
        <w:rPr>
          <w:lang w:val="es-ES_tradnl"/>
        </w:rPr>
      </w:pPr>
      <w:r w:rsidRPr="000442DE">
        <w:rPr>
          <w:b/>
          <w:lang w:val="es-ES_tradnl"/>
        </w:rPr>
        <w:t xml:space="preserve">Alemania aprueba definitivamente la ley que cerrará sus nucleares en 2022, </w:t>
      </w:r>
      <w:r w:rsidRPr="00291B30">
        <w:rPr>
          <w:lang w:val="es-ES_tradnl"/>
        </w:rPr>
        <w:t>además de otra legislación como la de promoción de las renovables o la promoción de redes. La energía nuclear supone el 23% del mix energético, por lo que Alemania deberá sustituir esa capacidad de generación. Pero la salida de la nuclear conlleva además otras consecuencias, como el previsible aumento de los precios, que se estima será de 3,20</w:t>
      </w:r>
      <w:r w:rsidR="00525C5D">
        <w:rPr>
          <w:lang w:val="es-ES_tradnl"/>
        </w:rPr>
        <w:t xml:space="preserve"> </w:t>
      </w:r>
      <w:r w:rsidRPr="00291B30">
        <w:rPr>
          <w:lang w:val="es-ES_tradnl"/>
        </w:rPr>
        <w:t>EUR/MWh más caro en 2020. Además</w:t>
      </w:r>
      <w:r w:rsidR="00525C5D">
        <w:rPr>
          <w:lang w:val="es-ES_tradnl"/>
        </w:rPr>
        <w:t>,</w:t>
      </w:r>
      <w:r w:rsidRPr="00291B30">
        <w:rPr>
          <w:lang w:val="es-ES_tradnl"/>
        </w:rPr>
        <w:t xml:space="preserve"> se espera un aumento de los precios del carbono de hasta 2EUR/mt. Además</w:t>
      </w:r>
      <w:r w:rsidR="00525C5D">
        <w:rPr>
          <w:lang w:val="es-ES_tradnl"/>
        </w:rPr>
        <w:t>,</w:t>
      </w:r>
      <w:r w:rsidRPr="00291B30">
        <w:rPr>
          <w:lang w:val="es-ES_tradnl"/>
        </w:rPr>
        <w:t xml:space="preserve"> según estimaciones del operador de redes BNetzA, será necesaria energía nuclear de reserva para este próximo invierno. (EUE 15.07)</w:t>
      </w:r>
    </w:p>
    <w:p w:rsidR="000442DE" w:rsidRPr="00291B30" w:rsidRDefault="000442DE" w:rsidP="001816A4">
      <w:pPr>
        <w:spacing w:before="100" w:beforeAutospacing="1" w:after="100" w:afterAutospacing="1" w:line="276" w:lineRule="auto"/>
        <w:rPr>
          <w:lang w:val="es-ES_tradnl"/>
        </w:rPr>
      </w:pPr>
      <w:r w:rsidRPr="000442DE">
        <w:rPr>
          <w:b/>
          <w:lang w:val="es-ES_tradnl"/>
        </w:rPr>
        <w:t xml:space="preserve">EEI y más de 60 empresas le piden a la FERC la revisión de la norma sobre planificación de redes y asignación de costes: </w:t>
      </w:r>
      <w:r w:rsidRPr="00291B30">
        <w:rPr>
          <w:lang w:val="es-ES_tradnl"/>
        </w:rPr>
        <w:t>la norma (Order 1000) requiere que las empresas de transporte sujetas a jurisdicción de la FERC participen en el proceso de planificación del transporte, lo cual tendrá consecuencias en la asignación de costes para las empresas de transporte identificadas en el plan regional. La metodología de asignación de costes regional deberá cumplir con 6 principios aun no detallados. Además, los transportistas sujetos a jurisdicción de la FERC situados en regiones vecinas deberán desarrollar una metodología de la asignación de costes interregional que sea eficiente y efectiva en costes. En cuanto a la planificación del transporte establece que los transportistas sujetos a jurisdicción de la FERC deberán participar en el proceso de planificación regional de modo que se satisfaga los requisitos estatales o federales como los RPS. NARUC cree que la FERC ha extralimitado su jurisdicción y que puede retrasar tanto la planificación de la red como la asignación de costes, por lo que se sigue discutiendo el alcance d</w:t>
      </w:r>
      <w:r w:rsidR="00291B30">
        <w:rPr>
          <w:lang w:val="es-ES_tradnl"/>
        </w:rPr>
        <w:t xml:space="preserve">e </w:t>
      </w:r>
      <w:r w:rsidR="00525C5D">
        <w:rPr>
          <w:lang w:val="es-ES_tradnl"/>
        </w:rPr>
        <w:t>esta norma. (GPR 04.08 y</w:t>
      </w:r>
      <w:r w:rsidRPr="00291B30">
        <w:rPr>
          <w:lang w:val="es-ES_tradnl"/>
        </w:rPr>
        <w:t xml:space="preserve"> GPR 25.08).</w:t>
      </w:r>
      <w:r w:rsidR="00525C5D">
        <w:rPr>
          <w:lang w:val="es-ES_tradnl"/>
        </w:rPr>
        <w:t xml:space="preserve"> </w:t>
      </w:r>
      <w:r w:rsidRPr="00291B30">
        <w:rPr>
          <w:lang w:val="es-ES_tradnl"/>
        </w:rPr>
        <w:t>La FERC explicará a las empresas en septiembre el nuevo sistema de asignación de costes de transporte de la norma “Order 1000” para que puedan expresar sus opiniones sobre el nuevo sistema. (GPR 25.08)</w:t>
      </w:r>
    </w:p>
    <w:p w:rsidR="000442DE" w:rsidRPr="001816A4" w:rsidRDefault="000442DE" w:rsidP="001816A4">
      <w:pPr>
        <w:spacing w:before="100" w:beforeAutospacing="1" w:after="100" w:afterAutospacing="1" w:line="276" w:lineRule="auto"/>
        <w:rPr>
          <w:lang w:val="en-US"/>
        </w:rPr>
      </w:pPr>
      <w:r w:rsidRPr="000442DE">
        <w:rPr>
          <w:b/>
          <w:lang w:val="es-ES_tradnl"/>
        </w:rPr>
        <w:t xml:space="preserve">Las grandes empresas energéticas europeas buscan nuevos mercados y socios debido a las dificultades en la regulación y los precios del gas, que no hacen atractivo desarrollar inversiones locales. </w:t>
      </w:r>
      <w:r w:rsidRPr="00291B30">
        <w:rPr>
          <w:lang w:val="es-ES_tradnl"/>
        </w:rPr>
        <w:t xml:space="preserve">Las más perjudicadas con los vaivenes regulatorios han sido RWE, E.ON y GDF Suez que han sufrido importantes pérdidas con los precios del gas y los cierres de nucleares en Alemania. (GPR 18.08) En este sentido, cabe reseñar que </w:t>
      </w:r>
      <w:r w:rsidRPr="00291B30">
        <w:rPr>
          <w:b/>
          <w:lang w:val="es-ES_tradnl"/>
        </w:rPr>
        <w:t>Gazprom firme un acuerdo (MOU) con RWE para desarrollar proyectos energéticos en Europa,</w:t>
      </w:r>
      <w:r w:rsidRPr="00291B30">
        <w:rPr>
          <w:lang w:val="es-ES_tradnl"/>
        </w:rPr>
        <w:t xml:space="preserve"> principalmente en Alemania, Gran Bretaña y el Benelux. Con este acuerdo se garantiza el suministro competitivo y seguro de gas natural a RWE. Este acuerdo se ve además como algo muy positivo tras la decisión del gobierno alemán de cerrar sus nucleares. </w:t>
      </w:r>
      <w:r w:rsidRPr="001816A4">
        <w:rPr>
          <w:lang w:val="en-US"/>
        </w:rPr>
        <w:t>(GPR 21.07)</w:t>
      </w:r>
      <w:r w:rsidR="00525C5D">
        <w:rPr>
          <w:lang w:val="en-US"/>
        </w:rPr>
        <w:t xml:space="preserve"> y </w:t>
      </w:r>
      <w:r w:rsidRPr="001816A4">
        <w:rPr>
          <w:lang w:val="en-US"/>
        </w:rPr>
        <w:t>(PIE 25.07).</w:t>
      </w:r>
    </w:p>
    <w:p w:rsidR="001816A4" w:rsidRPr="00463D49" w:rsidRDefault="001816A4" w:rsidP="001816A4">
      <w:pPr>
        <w:pStyle w:val="Ttulo2"/>
        <w:rPr>
          <w:rStyle w:val="nfasissutil"/>
          <w:lang w:val="en-US"/>
        </w:rPr>
      </w:pPr>
      <w:r w:rsidRPr="00463D49">
        <w:rPr>
          <w:rStyle w:val="nfasissutil"/>
          <w:lang w:val="en-US"/>
        </w:rPr>
        <w:t xml:space="preserve">Glosario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lang w:val="en-US"/>
        </w:rPr>
        <w:t xml:space="preserve">ACER: </w:t>
      </w:r>
      <w:r w:rsidRPr="001816A4">
        <w:rPr>
          <w:rFonts w:asciiTheme="minorHAnsi" w:eastAsiaTheme="minorHAnsi" w:hAnsiTheme="minorHAnsi" w:cs="Arial"/>
          <w:i/>
          <w:iCs/>
          <w:color w:val="000000"/>
          <w:szCs w:val="20"/>
          <w:lang w:val="en-US"/>
        </w:rPr>
        <w:t xml:space="preserve">Agency for the Cooperation of Energy regulators. </w:t>
      </w:r>
      <w:r w:rsidRPr="001816A4">
        <w:rPr>
          <w:rFonts w:asciiTheme="minorHAnsi" w:eastAsiaTheme="minorHAnsi" w:hAnsiTheme="minorHAnsi" w:cs="Arial"/>
          <w:color w:val="000000"/>
          <w:szCs w:val="20"/>
        </w:rPr>
        <w:t xml:space="preserve">Agencia para la cooperación de reguladores europeos.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rPr>
        <w:t xml:space="preserve">AUD: Dólar australiano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rPr>
        <w:t xml:space="preserve">BEI: Banco Europeo de Inversiones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lang w:val="en-US"/>
        </w:rPr>
        <w:t xml:space="preserve">CARB: </w:t>
      </w:r>
      <w:r w:rsidRPr="001816A4">
        <w:rPr>
          <w:rFonts w:asciiTheme="minorHAnsi" w:eastAsiaTheme="minorHAnsi" w:hAnsiTheme="minorHAnsi" w:cs="Arial"/>
          <w:i/>
          <w:iCs/>
          <w:color w:val="000000"/>
          <w:szCs w:val="20"/>
          <w:lang w:val="en-US"/>
        </w:rPr>
        <w:t xml:space="preserve">California Air Resources Board. </w:t>
      </w:r>
      <w:r w:rsidRPr="001816A4">
        <w:rPr>
          <w:rFonts w:asciiTheme="minorHAnsi" w:eastAsiaTheme="minorHAnsi" w:hAnsiTheme="minorHAnsi" w:cs="Arial"/>
          <w:color w:val="000000"/>
          <w:szCs w:val="20"/>
        </w:rPr>
        <w:t xml:space="preserve">Agencia encargada del ‘aire limpio’ en el estado de California.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lang w:val="en-US"/>
        </w:rPr>
        <w:lastRenderedPageBreak/>
        <w:t xml:space="preserve">CCS: </w:t>
      </w:r>
      <w:r w:rsidRPr="001816A4">
        <w:rPr>
          <w:rFonts w:asciiTheme="minorHAnsi" w:eastAsiaTheme="minorHAnsi" w:hAnsiTheme="minorHAnsi" w:cs="Arial"/>
          <w:i/>
          <w:iCs/>
          <w:color w:val="000000"/>
          <w:szCs w:val="20"/>
          <w:lang w:val="en-US"/>
        </w:rPr>
        <w:t>Carbon capture and storage</w:t>
      </w:r>
      <w:r w:rsidRPr="001816A4">
        <w:rPr>
          <w:rFonts w:asciiTheme="minorHAnsi" w:eastAsiaTheme="minorHAnsi" w:hAnsiTheme="minorHAnsi" w:cs="Arial"/>
          <w:color w:val="000000"/>
          <w:szCs w:val="20"/>
          <w:lang w:val="en-US"/>
        </w:rPr>
        <w:t xml:space="preserve">. </w:t>
      </w:r>
      <w:r w:rsidRPr="001816A4">
        <w:rPr>
          <w:rFonts w:asciiTheme="minorHAnsi" w:eastAsiaTheme="minorHAnsi" w:hAnsiTheme="minorHAnsi" w:cs="Arial"/>
          <w:color w:val="000000"/>
          <w:szCs w:val="20"/>
        </w:rPr>
        <w:t xml:space="preserve">Captura y almacenamiento de carbono.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rPr>
        <w:t xml:space="preserve">CFE: Comisión Federal de Electricidad Mejicana.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rPr>
        <w:t xml:space="preserve">CFTC: </w:t>
      </w:r>
      <w:r w:rsidRPr="001816A4">
        <w:rPr>
          <w:rFonts w:asciiTheme="minorHAnsi" w:eastAsiaTheme="minorHAnsi" w:hAnsiTheme="minorHAnsi" w:cs="Arial"/>
          <w:i/>
          <w:iCs/>
          <w:color w:val="000000"/>
          <w:szCs w:val="20"/>
        </w:rPr>
        <w:t xml:space="preserve">Commodity Futures Trading Commission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rPr>
        <w:t xml:space="preserve">COFEMER: Comisión federal de mejora regulatoria mejicana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rPr>
        <w:t xml:space="preserve">CRE: Comisión reguladora de energía mejicana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rPr>
        <w:t xml:space="preserve">CREG: </w:t>
      </w:r>
      <w:r w:rsidRPr="001816A4">
        <w:rPr>
          <w:rFonts w:asciiTheme="minorHAnsi" w:eastAsiaTheme="minorHAnsi" w:hAnsiTheme="minorHAnsi" w:cs="Arial"/>
          <w:i/>
          <w:iCs/>
          <w:color w:val="000000"/>
          <w:szCs w:val="20"/>
        </w:rPr>
        <w:t>Commission de régulation de l'électricité et du gaz</w:t>
      </w:r>
      <w:r w:rsidRPr="001816A4">
        <w:rPr>
          <w:rFonts w:asciiTheme="minorHAnsi" w:eastAsiaTheme="minorHAnsi" w:hAnsiTheme="minorHAnsi" w:cs="Arial"/>
          <w:color w:val="000000"/>
          <w:szCs w:val="20"/>
        </w:rPr>
        <w:t xml:space="preserve">. Comisión de regulación de electricidad y gas belga.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lang w:val="en-US"/>
        </w:rPr>
        <w:t xml:space="preserve">DOE: </w:t>
      </w:r>
      <w:r w:rsidRPr="001816A4">
        <w:rPr>
          <w:rFonts w:asciiTheme="minorHAnsi" w:eastAsiaTheme="minorHAnsi" w:hAnsiTheme="minorHAnsi" w:cs="Arial"/>
          <w:i/>
          <w:iCs/>
          <w:color w:val="000000"/>
          <w:szCs w:val="20"/>
          <w:lang w:val="en-US"/>
        </w:rPr>
        <w:t>Department of Energy</w:t>
      </w:r>
      <w:r w:rsidRPr="001816A4">
        <w:rPr>
          <w:rFonts w:asciiTheme="minorHAnsi" w:eastAsiaTheme="minorHAnsi" w:hAnsiTheme="minorHAnsi" w:cs="Arial"/>
          <w:color w:val="000000"/>
          <w:szCs w:val="20"/>
          <w:lang w:val="en-US"/>
        </w:rPr>
        <w:t xml:space="preserve">, USA. </w:t>
      </w:r>
      <w:r w:rsidRPr="001816A4">
        <w:rPr>
          <w:rFonts w:asciiTheme="minorHAnsi" w:eastAsiaTheme="minorHAnsi" w:hAnsiTheme="minorHAnsi" w:cs="Arial"/>
          <w:color w:val="000000"/>
          <w:szCs w:val="20"/>
        </w:rPr>
        <w:t xml:space="preserve">Departamento de energía de los EEUU.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lang w:val="en-US"/>
        </w:rPr>
      </w:pPr>
      <w:r w:rsidRPr="001816A4">
        <w:rPr>
          <w:rFonts w:asciiTheme="minorHAnsi" w:eastAsiaTheme="minorHAnsi" w:hAnsiTheme="minorHAnsi" w:cs="Arial"/>
          <w:color w:val="000000"/>
          <w:szCs w:val="20"/>
          <w:lang w:val="en-US"/>
        </w:rPr>
        <w:t xml:space="preserve">EEI: </w:t>
      </w:r>
      <w:r w:rsidRPr="001816A4">
        <w:rPr>
          <w:rFonts w:asciiTheme="minorHAnsi" w:eastAsiaTheme="minorHAnsi" w:hAnsiTheme="minorHAnsi" w:cs="Arial"/>
          <w:i/>
          <w:iCs/>
          <w:color w:val="000000"/>
          <w:szCs w:val="20"/>
          <w:lang w:val="en-US"/>
        </w:rPr>
        <w:t xml:space="preserve">Edison Electric Institute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lang w:val="en-US"/>
        </w:rPr>
        <w:t xml:space="preserve">ENTSO-E, ENTSO-G: </w:t>
      </w:r>
      <w:r w:rsidRPr="001816A4">
        <w:rPr>
          <w:rFonts w:asciiTheme="minorHAnsi" w:eastAsiaTheme="minorHAnsi" w:hAnsiTheme="minorHAnsi" w:cs="Arial"/>
          <w:i/>
          <w:iCs/>
          <w:color w:val="000000"/>
          <w:szCs w:val="20"/>
          <w:lang w:val="en-US"/>
        </w:rPr>
        <w:t>European Network of Transmission System Operators of Electricity and Gas</w:t>
      </w:r>
      <w:r w:rsidRPr="001816A4">
        <w:rPr>
          <w:rFonts w:asciiTheme="minorHAnsi" w:eastAsiaTheme="minorHAnsi" w:hAnsiTheme="minorHAnsi" w:cs="Arial"/>
          <w:color w:val="000000"/>
          <w:szCs w:val="20"/>
          <w:lang w:val="en-US"/>
        </w:rPr>
        <w:t xml:space="preserve">. </w:t>
      </w:r>
      <w:r w:rsidRPr="001816A4">
        <w:rPr>
          <w:rFonts w:asciiTheme="minorHAnsi" w:eastAsiaTheme="minorHAnsi" w:hAnsiTheme="minorHAnsi" w:cs="Arial"/>
          <w:color w:val="000000"/>
          <w:szCs w:val="20"/>
        </w:rPr>
        <w:t xml:space="preserve">Red europea de operadores de transporte de gas y electricidad.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rPr>
        <w:t xml:space="preserve">EPA: </w:t>
      </w:r>
      <w:r w:rsidRPr="001816A4">
        <w:rPr>
          <w:rFonts w:asciiTheme="minorHAnsi" w:eastAsiaTheme="minorHAnsi" w:hAnsiTheme="minorHAnsi" w:cs="Arial"/>
          <w:i/>
          <w:iCs/>
          <w:color w:val="000000"/>
          <w:szCs w:val="20"/>
        </w:rPr>
        <w:t>Environmental Protection Agency</w:t>
      </w:r>
      <w:r w:rsidRPr="001816A4">
        <w:rPr>
          <w:rFonts w:asciiTheme="minorHAnsi" w:eastAsiaTheme="minorHAnsi" w:hAnsiTheme="minorHAnsi" w:cs="Arial"/>
          <w:color w:val="000000"/>
          <w:szCs w:val="20"/>
        </w:rPr>
        <w:t xml:space="preserve">. Agencia de protección medioambiental estadounidense.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lang w:val="en-US"/>
        </w:rPr>
        <w:t xml:space="preserve">ERCOT: </w:t>
      </w:r>
      <w:r w:rsidRPr="001816A4">
        <w:rPr>
          <w:rFonts w:asciiTheme="minorHAnsi" w:eastAsiaTheme="minorHAnsi" w:hAnsiTheme="minorHAnsi" w:cs="Arial"/>
          <w:i/>
          <w:iCs/>
          <w:color w:val="000000"/>
          <w:szCs w:val="20"/>
          <w:lang w:val="en-US"/>
        </w:rPr>
        <w:t>Electric Reliability Council of Texas</w:t>
      </w:r>
      <w:r w:rsidRPr="001816A4">
        <w:rPr>
          <w:rFonts w:asciiTheme="minorHAnsi" w:eastAsiaTheme="minorHAnsi" w:hAnsiTheme="minorHAnsi" w:cs="Arial"/>
          <w:color w:val="000000"/>
          <w:szCs w:val="20"/>
          <w:lang w:val="en-US"/>
        </w:rPr>
        <w:t xml:space="preserve">. </w:t>
      </w:r>
      <w:r w:rsidRPr="001816A4">
        <w:rPr>
          <w:rFonts w:asciiTheme="minorHAnsi" w:eastAsiaTheme="minorHAnsi" w:hAnsiTheme="minorHAnsi" w:cs="Arial"/>
          <w:color w:val="000000"/>
          <w:szCs w:val="20"/>
        </w:rPr>
        <w:t xml:space="preserve">Operador de la red de gran parte de Texas.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rPr>
        <w:t xml:space="preserve">EUAs: </w:t>
      </w:r>
      <w:r w:rsidRPr="001816A4">
        <w:rPr>
          <w:rFonts w:asciiTheme="minorHAnsi" w:eastAsiaTheme="minorHAnsi" w:hAnsiTheme="minorHAnsi" w:cs="Arial"/>
          <w:i/>
          <w:iCs/>
          <w:color w:val="000000"/>
          <w:szCs w:val="20"/>
        </w:rPr>
        <w:t xml:space="preserve">EU Allowances </w:t>
      </w:r>
      <w:r w:rsidRPr="001816A4">
        <w:rPr>
          <w:rFonts w:asciiTheme="minorHAnsi" w:eastAsiaTheme="minorHAnsi" w:hAnsiTheme="minorHAnsi" w:cs="Arial"/>
          <w:color w:val="000000"/>
          <w:szCs w:val="20"/>
        </w:rPr>
        <w:t xml:space="preserve">(EUAs); Derechos de emisión europeos.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rPr>
        <w:t xml:space="preserve">EUE: </w:t>
      </w:r>
      <w:r w:rsidRPr="001816A4">
        <w:rPr>
          <w:rFonts w:asciiTheme="minorHAnsi" w:eastAsiaTheme="minorHAnsi" w:hAnsiTheme="minorHAnsi" w:cs="Arial"/>
          <w:i/>
          <w:iCs/>
          <w:color w:val="000000"/>
          <w:szCs w:val="20"/>
        </w:rPr>
        <w:t>EU Energy</w:t>
      </w:r>
      <w:r w:rsidRPr="001816A4">
        <w:rPr>
          <w:rFonts w:asciiTheme="minorHAnsi" w:eastAsiaTheme="minorHAnsi" w:hAnsiTheme="minorHAnsi" w:cs="Arial"/>
          <w:color w:val="000000"/>
          <w:szCs w:val="20"/>
        </w:rPr>
        <w:t xml:space="preserve">, Platts.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rPr>
        <w:t xml:space="preserve">EUR: Euro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lang w:val="en-US"/>
        </w:rPr>
        <w:t xml:space="preserve">FERC: </w:t>
      </w:r>
      <w:r w:rsidRPr="001816A4">
        <w:rPr>
          <w:rFonts w:asciiTheme="minorHAnsi" w:eastAsiaTheme="minorHAnsi" w:hAnsiTheme="minorHAnsi" w:cs="Arial"/>
          <w:i/>
          <w:iCs/>
          <w:color w:val="000000"/>
          <w:szCs w:val="20"/>
          <w:lang w:val="en-US"/>
        </w:rPr>
        <w:t>Federal Energy Regulatory Commission</w:t>
      </w:r>
      <w:r w:rsidRPr="001816A4">
        <w:rPr>
          <w:rFonts w:asciiTheme="minorHAnsi" w:eastAsiaTheme="minorHAnsi" w:hAnsiTheme="minorHAnsi" w:cs="Arial"/>
          <w:color w:val="000000"/>
          <w:szCs w:val="20"/>
          <w:lang w:val="en-US"/>
        </w:rPr>
        <w:t xml:space="preserve">. </w:t>
      </w:r>
      <w:r w:rsidRPr="001816A4">
        <w:rPr>
          <w:rFonts w:asciiTheme="minorHAnsi" w:eastAsiaTheme="minorHAnsi" w:hAnsiTheme="minorHAnsi" w:cs="Arial"/>
          <w:color w:val="000000"/>
          <w:szCs w:val="20"/>
        </w:rPr>
        <w:t xml:space="preserve">Comisión federal de regulación energética estadounidense.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lang w:val="en-US"/>
        </w:rPr>
      </w:pPr>
      <w:r w:rsidRPr="001816A4">
        <w:rPr>
          <w:rFonts w:asciiTheme="minorHAnsi" w:eastAsiaTheme="minorHAnsi" w:hAnsiTheme="minorHAnsi" w:cs="Arial"/>
          <w:color w:val="000000"/>
          <w:szCs w:val="20"/>
          <w:lang w:val="en-US"/>
        </w:rPr>
        <w:t xml:space="preserve">FIT: </w:t>
      </w:r>
      <w:r w:rsidRPr="001816A4">
        <w:rPr>
          <w:rFonts w:asciiTheme="minorHAnsi" w:eastAsiaTheme="minorHAnsi" w:hAnsiTheme="minorHAnsi" w:cs="Arial"/>
          <w:i/>
          <w:iCs/>
          <w:color w:val="000000"/>
          <w:szCs w:val="20"/>
          <w:lang w:val="en-US"/>
        </w:rPr>
        <w:t>Feed in tariffs</w:t>
      </w:r>
      <w:r w:rsidRPr="001816A4">
        <w:rPr>
          <w:rFonts w:asciiTheme="minorHAnsi" w:eastAsiaTheme="minorHAnsi" w:hAnsiTheme="minorHAnsi" w:cs="Arial"/>
          <w:color w:val="000000"/>
          <w:szCs w:val="20"/>
          <w:lang w:val="en-US"/>
        </w:rPr>
        <w:t xml:space="preserve">. Tarifas fijas.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rPr>
        <w:t xml:space="preserve">GEI: Gases de Efecto Invernadero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rPr>
        <w:t xml:space="preserve">GNL: Gas natural licuado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lang w:val="en-US"/>
        </w:rPr>
      </w:pPr>
      <w:r w:rsidRPr="001816A4">
        <w:rPr>
          <w:rFonts w:asciiTheme="minorHAnsi" w:eastAsiaTheme="minorHAnsi" w:hAnsiTheme="minorHAnsi" w:cs="Arial"/>
          <w:color w:val="000000"/>
          <w:szCs w:val="20"/>
          <w:lang w:val="en-US"/>
        </w:rPr>
        <w:t xml:space="preserve">GPR: </w:t>
      </w:r>
      <w:r w:rsidRPr="001816A4">
        <w:rPr>
          <w:rFonts w:asciiTheme="minorHAnsi" w:eastAsiaTheme="minorHAnsi" w:hAnsiTheme="minorHAnsi" w:cs="Arial"/>
          <w:i/>
          <w:iCs/>
          <w:color w:val="000000"/>
          <w:szCs w:val="20"/>
          <w:lang w:val="en-US"/>
        </w:rPr>
        <w:t>Global Power Report</w:t>
      </w:r>
      <w:r w:rsidRPr="001816A4">
        <w:rPr>
          <w:rFonts w:asciiTheme="minorHAnsi" w:eastAsiaTheme="minorHAnsi" w:hAnsiTheme="minorHAnsi" w:cs="Arial"/>
          <w:color w:val="000000"/>
          <w:szCs w:val="20"/>
          <w:lang w:val="en-US"/>
        </w:rPr>
        <w:t xml:space="preserve">, Platts.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rPr>
        <w:t xml:space="preserve">ISO: </w:t>
      </w:r>
      <w:r w:rsidRPr="001816A4">
        <w:rPr>
          <w:rFonts w:asciiTheme="minorHAnsi" w:eastAsiaTheme="minorHAnsi" w:hAnsiTheme="minorHAnsi" w:cs="Arial"/>
          <w:i/>
          <w:iCs/>
          <w:color w:val="000000"/>
          <w:szCs w:val="20"/>
        </w:rPr>
        <w:t>Independent system operator</w:t>
      </w:r>
      <w:r w:rsidRPr="001816A4">
        <w:rPr>
          <w:rFonts w:asciiTheme="minorHAnsi" w:eastAsiaTheme="minorHAnsi" w:hAnsiTheme="minorHAnsi" w:cs="Arial"/>
          <w:color w:val="000000"/>
          <w:szCs w:val="20"/>
        </w:rPr>
        <w:t xml:space="preserve">. Operador independiente del sistema.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lang w:val="en-US"/>
        </w:rPr>
        <w:t xml:space="preserve">MISO: </w:t>
      </w:r>
      <w:r w:rsidRPr="001816A4">
        <w:rPr>
          <w:rFonts w:asciiTheme="minorHAnsi" w:eastAsiaTheme="minorHAnsi" w:hAnsiTheme="minorHAnsi" w:cs="Arial"/>
          <w:i/>
          <w:iCs/>
          <w:color w:val="000000"/>
          <w:szCs w:val="20"/>
          <w:lang w:val="en-US"/>
        </w:rPr>
        <w:t>Midwest independent system operator</w:t>
      </w:r>
      <w:r w:rsidRPr="001816A4">
        <w:rPr>
          <w:rFonts w:asciiTheme="minorHAnsi" w:eastAsiaTheme="minorHAnsi" w:hAnsiTheme="minorHAnsi" w:cs="Arial"/>
          <w:color w:val="000000"/>
          <w:szCs w:val="20"/>
          <w:lang w:val="en-US"/>
        </w:rPr>
        <w:t xml:space="preserve">. </w:t>
      </w:r>
      <w:r w:rsidRPr="001816A4">
        <w:rPr>
          <w:rFonts w:asciiTheme="minorHAnsi" w:eastAsiaTheme="minorHAnsi" w:hAnsiTheme="minorHAnsi" w:cs="Arial"/>
          <w:color w:val="000000"/>
          <w:szCs w:val="20"/>
        </w:rPr>
        <w:t xml:space="preserve">Incluye gran parte de North Dakota, South Dakota, Nebraska, Minnesota, Iowa, Wisconsin, Illinois, Indiana, Michigan y partes deMontana, Mossouri, Kentucky y Ohio. </w:t>
      </w:r>
    </w:p>
    <w:p w:rsidR="00525C5D" w:rsidRPr="00006DEB" w:rsidRDefault="001816A4" w:rsidP="00525C5D">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lang w:val="en-US"/>
        </w:rPr>
      </w:pPr>
      <w:r w:rsidRPr="001816A4">
        <w:rPr>
          <w:rFonts w:asciiTheme="minorHAnsi" w:eastAsiaTheme="minorHAnsi" w:hAnsiTheme="minorHAnsi" w:cs="Arial"/>
          <w:color w:val="000000"/>
          <w:szCs w:val="20"/>
          <w:lang w:val="en-US"/>
        </w:rPr>
        <w:lastRenderedPageBreak/>
        <w:t xml:space="preserve">MOU: </w:t>
      </w:r>
      <w:r w:rsidRPr="001816A4">
        <w:rPr>
          <w:rFonts w:asciiTheme="minorHAnsi" w:eastAsiaTheme="minorHAnsi" w:hAnsiTheme="minorHAnsi" w:cs="Arial"/>
          <w:i/>
          <w:iCs/>
          <w:color w:val="000000"/>
          <w:szCs w:val="20"/>
          <w:lang w:val="en-US"/>
        </w:rPr>
        <w:t>Memorandum of Understanding</w:t>
      </w:r>
      <w:r w:rsidRPr="001816A4">
        <w:rPr>
          <w:rFonts w:asciiTheme="minorHAnsi" w:eastAsiaTheme="minorHAnsi" w:hAnsiTheme="minorHAnsi" w:cs="Arial"/>
          <w:color w:val="000000"/>
          <w:szCs w:val="20"/>
          <w:lang w:val="en-US"/>
        </w:rPr>
        <w:t xml:space="preserve">. </w:t>
      </w:r>
      <w:r w:rsidRPr="00006DEB">
        <w:rPr>
          <w:rFonts w:asciiTheme="minorHAnsi" w:eastAsiaTheme="minorHAnsi" w:hAnsiTheme="minorHAnsi" w:cs="Arial"/>
          <w:color w:val="000000"/>
          <w:szCs w:val="20"/>
          <w:lang w:val="en-US"/>
        </w:rPr>
        <w:t>Acuerdo de colaboración.</w:t>
      </w:r>
    </w:p>
    <w:p w:rsidR="001816A4" w:rsidRPr="001816A4" w:rsidRDefault="001816A4" w:rsidP="00525C5D">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006DEB">
        <w:rPr>
          <w:rFonts w:asciiTheme="minorHAnsi" w:eastAsiaTheme="minorHAnsi" w:hAnsiTheme="minorHAnsi" w:cs="Arial"/>
          <w:color w:val="000000"/>
          <w:szCs w:val="20"/>
          <w:lang w:val="en-US"/>
        </w:rPr>
        <w:t xml:space="preserve">NERC: </w:t>
      </w:r>
      <w:r w:rsidRPr="00006DEB">
        <w:rPr>
          <w:rFonts w:asciiTheme="minorHAnsi" w:eastAsiaTheme="minorHAnsi" w:hAnsiTheme="minorHAnsi" w:cs="Arial"/>
          <w:i/>
          <w:iCs/>
          <w:color w:val="000000"/>
          <w:szCs w:val="20"/>
          <w:lang w:val="en-US"/>
        </w:rPr>
        <w:t>North American Reliability Corporation</w:t>
      </w:r>
      <w:r w:rsidRPr="00006DEB">
        <w:rPr>
          <w:rFonts w:asciiTheme="minorHAnsi" w:eastAsiaTheme="minorHAnsi" w:hAnsiTheme="minorHAnsi" w:cs="Arial"/>
          <w:color w:val="000000"/>
          <w:szCs w:val="20"/>
          <w:lang w:val="en-US"/>
        </w:rPr>
        <w:t xml:space="preserve">. </w:t>
      </w:r>
      <w:r w:rsidRPr="001816A4">
        <w:rPr>
          <w:rFonts w:asciiTheme="minorHAnsi" w:eastAsiaTheme="minorHAnsi" w:hAnsiTheme="minorHAnsi" w:cs="Arial"/>
          <w:color w:val="000000"/>
          <w:szCs w:val="20"/>
        </w:rPr>
        <w:t xml:space="preserve">Asegura la estabilidad técnica de la red de transporte estadounidense, dividida en 8 zonas.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lang w:val="en-US"/>
        </w:rPr>
        <w:t xml:space="preserve">NARUC: </w:t>
      </w:r>
      <w:r w:rsidRPr="001816A4">
        <w:rPr>
          <w:rFonts w:asciiTheme="minorHAnsi" w:eastAsiaTheme="minorHAnsi" w:hAnsiTheme="minorHAnsi" w:cs="Arial"/>
          <w:i/>
          <w:iCs/>
          <w:color w:val="000000"/>
          <w:szCs w:val="20"/>
          <w:lang w:val="en-US"/>
        </w:rPr>
        <w:t xml:space="preserve">National Association of Regulatory Utility Commissioners. </w:t>
      </w:r>
      <w:r w:rsidRPr="001816A4">
        <w:rPr>
          <w:rFonts w:asciiTheme="minorHAnsi" w:eastAsiaTheme="minorHAnsi" w:hAnsiTheme="minorHAnsi" w:cs="Arial"/>
          <w:color w:val="000000"/>
          <w:szCs w:val="20"/>
        </w:rPr>
        <w:t xml:space="preserve">Asociación estadounidense que representa a las empresas que regulan servicios esenciales como energía, telecomunicaciones y agua.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lang w:val="en-US"/>
        </w:rPr>
        <w:t xml:space="preserve">NOOA: </w:t>
      </w:r>
      <w:r w:rsidRPr="001816A4">
        <w:rPr>
          <w:rFonts w:asciiTheme="minorHAnsi" w:eastAsiaTheme="minorHAnsi" w:hAnsiTheme="minorHAnsi" w:cs="Arial"/>
          <w:i/>
          <w:iCs/>
          <w:color w:val="000000"/>
          <w:szCs w:val="20"/>
          <w:lang w:val="en-US"/>
        </w:rPr>
        <w:t>National Oceanic and Atmospheric Administration</w:t>
      </w:r>
      <w:r w:rsidRPr="001816A4">
        <w:rPr>
          <w:rFonts w:asciiTheme="minorHAnsi" w:eastAsiaTheme="minorHAnsi" w:hAnsiTheme="minorHAnsi" w:cs="Arial"/>
          <w:color w:val="000000"/>
          <w:szCs w:val="20"/>
          <w:lang w:val="en-US"/>
        </w:rPr>
        <w:t xml:space="preserve">. </w:t>
      </w:r>
      <w:r w:rsidRPr="001816A4">
        <w:rPr>
          <w:rFonts w:asciiTheme="minorHAnsi" w:eastAsiaTheme="minorHAnsi" w:hAnsiTheme="minorHAnsi" w:cs="Arial"/>
          <w:color w:val="000000"/>
          <w:szCs w:val="20"/>
        </w:rPr>
        <w:t xml:space="preserve">Agencia nacional oceánica y atmosférica de EEUU.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rPr>
        <w:t xml:space="preserve">PIE: </w:t>
      </w:r>
      <w:r w:rsidRPr="001816A4">
        <w:rPr>
          <w:rFonts w:asciiTheme="minorHAnsi" w:eastAsiaTheme="minorHAnsi" w:hAnsiTheme="minorHAnsi" w:cs="Arial"/>
          <w:i/>
          <w:iCs/>
          <w:color w:val="000000"/>
          <w:szCs w:val="20"/>
        </w:rPr>
        <w:t>Power in Europe</w:t>
      </w:r>
      <w:r w:rsidRPr="001816A4">
        <w:rPr>
          <w:rFonts w:asciiTheme="minorHAnsi" w:eastAsiaTheme="minorHAnsi" w:hAnsiTheme="minorHAnsi" w:cs="Arial"/>
          <w:color w:val="000000"/>
          <w:szCs w:val="20"/>
        </w:rPr>
        <w:t xml:space="preserve">, Platts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rPr>
        <w:t xml:space="preserve">PJM Interconnection: Organización regional de transporte de electricidad (regional transmission organization -RTO) que coordina los movimientos de electricidad mayoristas en parte o en su totalidad de los siguientes estados: Delaware, Illinois, Indiana, Kentucky, Maryland, Michigan, New Jersey, North Carolina, Ohio, Pennsylvania, Tennessee, Virginia, West Virginia y el Distrito de Columbia.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rPr>
        <w:t xml:space="preserve">PUC: </w:t>
      </w:r>
      <w:r w:rsidRPr="001816A4">
        <w:rPr>
          <w:rFonts w:asciiTheme="minorHAnsi" w:eastAsiaTheme="minorHAnsi" w:hAnsiTheme="minorHAnsi" w:cs="Arial"/>
          <w:i/>
          <w:iCs/>
          <w:color w:val="000000"/>
          <w:szCs w:val="20"/>
        </w:rPr>
        <w:t>Public Utility Commission</w:t>
      </w:r>
      <w:r w:rsidRPr="001816A4">
        <w:rPr>
          <w:rFonts w:asciiTheme="minorHAnsi" w:eastAsiaTheme="minorHAnsi" w:hAnsiTheme="minorHAnsi" w:cs="Arial"/>
          <w:color w:val="000000"/>
          <w:szCs w:val="20"/>
        </w:rPr>
        <w:t xml:space="preserve">. Agencias que regulan a nivel estatal las </w:t>
      </w:r>
      <w:r w:rsidRPr="001816A4">
        <w:rPr>
          <w:rFonts w:asciiTheme="minorHAnsi" w:eastAsiaTheme="minorHAnsi" w:hAnsiTheme="minorHAnsi" w:cs="Arial"/>
          <w:i/>
          <w:iCs/>
          <w:color w:val="000000"/>
          <w:szCs w:val="20"/>
        </w:rPr>
        <w:t xml:space="preserve">utilities </w:t>
      </w:r>
      <w:r w:rsidRPr="001816A4">
        <w:rPr>
          <w:rFonts w:asciiTheme="minorHAnsi" w:eastAsiaTheme="minorHAnsi" w:hAnsiTheme="minorHAnsi" w:cs="Arial"/>
          <w:color w:val="000000"/>
          <w:szCs w:val="20"/>
        </w:rPr>
        <w:t xml:space="preserve">de servicios esenciales.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lang w:val="en-US"/>
        </w:rPr>
      </w:pPr>
      <w:r w:rsidRPr="001816A4">
        <w:rPr>
          <w:rFonts w:asciiTheme="minorHAnsi" w:eastAsiaTheme="minorHAnsi" w:hAnsiTheme="minorHAnsi" w:cs="Arial"/>
          <w:color w:val="000000"/>
          <w:szCs w:val="20"/>
          <w:lang w:val="en-US"/>
        </w:rPr>
        <w:t xml:space="preserve">RER: </w:t>
      </w:r>
      <w:r w:rsidRPr="001816A4">
        <w:rPr>
          <w:rFonts w:asciiTheme="minorHAnsi" w:eastAsiaTheme="minorHAnsi" w:hAnsiTheme="minorHAnsi" w:cs="Arial"/>
          <w:i/>
          <w:iCs/>
          <w:color w:val="000000"/>
          <w:szCs w:val="20"/>
          <w:lang w:val="en-US"/>
        </w:rPr>
        <w:t>Renewable Energy Report</w:t>
      </w:r>
      <w:r w:rsidRPr="001816A4">
        <w:rPr>
          <w:rFonts w:asciiTheme="minorHAnsi" w:eastAsiaTheme="minorHAnsi" w:hAnsiTheme="minorHAnsi" w:cs="Arial"/>
          <w:color w:val="000000"/>
          <w:szCs w:val="20"/>
          <w:lang w:val="en-US"/>
        </w:rPr>
        <w:t xml:space="preserve">, Platts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lang w:val="en-US"/>
        </w:rPr>
      </w:pPr>
      <w:r w:rsidRPr="001816A4">
        <w:rPr>
          <w:rFonts w:asciiTheme="minorHAnsi" w:eastAsiaTheme="minorHAnsi" w:hAnsiTheme="minorHAnsi" w:cs="Arial"/>
          <w:color w:val="000000"/>
          <w:szCs w:val="20"/>
          <w:lang w:val="en-US"/>
        </w:rPr>
        <w:t xml:space="preserve">RGGI: </w:t>
      </w:r>
      <w:r w:rsidRPr="001816A4">
        <w:rPr>
          <w:rFonts w:asciiTheme="minorHAnsi" w:eastAsiaTheme="minorHAnsi" w:hAnsiTheme="minorHAnsi" w:cs="Arial"/>
          <w:i/>
          <w:iCs/>
          <w:color w:val="000000"/>
          <w:szCs w:val="20"/>
          <w:lang w:val="en-US"/>
        </w:rPr>
        <w:t xml:space="preserve">Regional Greenhousegases Initiative, </w:t>
      </w:r>
      <w:r w:rsidRPr="001816A4">
        <w:rPr>
          <w:rFonts w:asciiTheme="minorHAnsi" w:eastAsiaTheme="minorHAnsi" w:hAnsiTheme="minorHAnsi" w:cs="Arial"/>
          <w:color w:val="000000"/>
          <w:szCs w:val="20"/>
          <w:lang w:val="en-US"/>
        </w:rPr>
        <w:t xml:space="preserve">Iniciativa regional de gases de efecto invernadero, Los estados participantes son: Connecticut, Delaware, Maine, Maryland, Massachusetts, New Hampshire, New Jersey, New York, Rhode Island, y Vermont.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rPr>
        <w:t xml:space="preserve">RTO: </w:t>
      </w:r>
      <w:r w:rsidRPr="001816A4">
        <w:rPr>
          <w:rFonts w:asciiTheme="minorHAnsi" w:eastAsiaTheme="minorHAnsi" w:hAnsiTheme="minorHAnsi" w:cs="Arial"/>
          <w:i/>
          <w:iCs/>
          <w:color w:val="000000"/>
          <w:szCs w:val="20"/>
        </w:rPr>
        <w:t>Regional transmission operator</w:t>
      </w:r>
      <w:r w:rsidRPr="001816A4">
        <w:rPr>
          <w:rFonts w:asciiTheme="minorHAnsi" w:eastAsiaTheme="minorHAnsi" w:hAnsiTheme="minorHAnsi" w:cs="Arial"/>
          <w:color w:val="000000"/>
          <w:szCs w:val="20"/>
        </w:rPr>
        <w:t xml:space="preserve">. Operador regional de transporte.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rPr>
        <w:t xml:space="preserve">SPP: </w:t>
      </w:r>
      <w:r w:rsidRPr="001816A4">
        <w:rPr>
          <w:rFonts w:asciiTheme="minorHAnsi" w:eastAsiaTheme="minorHAnsi" w:hAnsiTheme="minorHAnsi" w:cs="Arial"/>
          <w:i/>
          <w:iCs/>
          <w:color w:val="000000"/>
          <w:szCs w:val="20"/>
        </w:rPr>
        <w:t>Southwest Power Pool</w:t>
      </w:r>
      <w:r w:rsidRPr="001816A4">
        <w:rPr>
          <w:rFonts w:asciiTheme="minorHAnsi" w:eastAsiaTheme="minorHAnsi" w:hAnsiTheme="minorHAnsi" w:cs="Arial"/>
          <w:color w:val="000000"/>
          <w:szCs w:val="20"/>
        </w:rPr>
        <w:t xml:space="preserve">. </w:t>
      </w:r>
      <w:r w:rsidRPr="001816A4">
        <w:rPr>
          <w:rFonts w:asciiTheme="minorHAnsi" w:eastAsiaTheme="minorHAnsi" w:hAnsiTheme="minorHAnsi" w:cs="Arial"/>
          <w:i/>
          <w:iCs/>
          <w:color w:val="000000"/>
          <w:szCs w:val="20"/>
        </w:rPr>
        <w:t xml:space="preserve">Independent system operator </w:t>
      </w:r>
      <w:r w:rsidRPr="001816A4">
        <w:rPr>
          <w:rFonts w:asciiTheme="minorHAnsi" w:eastAsiaTheme="minorHAnsi" w:hAnsiTheme="minorHAnsi" w:cs="Arial"/>
          <w:color w:val="000000"/>
          <w:szCs w:val="20"/>
        </w:rPr>
        <w:t xml:space="preserve">que incluye los estados de Kansas Oklahoma y parte de New Mexico, Texas, Louisiana, Missouri, Mississippi y Arkansas. </w:t>
      </w:r>
    </w:p>
    <w:p w:rsidR="001816A4" w:rsidRPr="001816A4" w:rsidRDefault="001816A4" w:rsidP="001816A4">
      <w:pPr>
        <w:autoSpaceDE w:val="0"/>
        <w:autoSpaceDN w:val="0"/>
        <w:adjustRightInd w:val="0"/>
        <w:spacing w:before="100" w:beforeAutospacing="1" w:after="100" w:afterAutospacing="1" w:line="276" w:lineRule="auto"/>
        <w:rPr>
          <w:rFonts w:asciiTheme="minorHAnsi" w:eastAsiaTheme="minorHAnsi" w:hAnsiTheme="minorHAnsi" w:cs="Arial"/>
          <w:color w:val="000000"/>
          <w:szCs w:val="20"/>
        </w:rPr>
      </w:pPr>
      <w:r w:rsidRPr="001816A4">
        <w:rPr>
          <w:rFonts w:asciiTheme="minorHAnsi" w:eastAsiaTheme="minorHAnsi" w:hAnsiTheme="minorHAnsi" w:cs="Arial"/>
          <w:color w:val="000000"/>
          <w:szCs w:val="20"/>
        </w:rPr>
        <w:t xml:space="preserve">URE: Regulador polaco de electricidad </w:t>
      </w:r>
    </w:p>
    <w:p w:rsidR="001816A4" w:rsidRPr="001816A4" w:rsidRDefault="00525C5D" w:rsidP="001816A4">
      <w:pPr>
        <w:spacing w:before="100" w:beforeAutospacing="1" w:after="100" w:afterAutospacing="1" w:line="276" w:lineRule="auto"/>
        <w:rPr>
          <w:rFonts w:asciiTheme="minorHAnsi" w:hAnsiTheme="minorHAnsi"/>
          <w:lang w:val="es-ES_tradnl"/>
        </w:rPr>
      </w:pPr>
      <w:r>
        <w:rPr>
          <w:rFonts w:asciiTheme="minorHAnsi" w:eastAsiaTheme="minorHAnsi" w:hAnsiTheme="minorHAnsi" w:cs="Arial"/>
          <w:color w:val="000000"/>
          <w:szCs w:val="20"/>
        </w:rPr>
        <w:t>USD: Dó</w:t>
      </w:r>
      <w:r w:rsidR="001816A4" w:rsidRPr="001816A4">
        <w:rPr>
          <w:rFonts w:asciiTheme="minorHAnsi" w:eastAsiaTheme="minorHAnsi" w:hAnsiTheme="minorHAnsi" w:cs="Arial"/>
          <w:color w:val="000000"/>
          <w:szCs w:val="20"/>
        </w:rPr>
        <w:t>lar Americano</w:t>
      </w:r>
    </w:p>
    <w:sectPr w:rsidR="001816A4" w:rsidRPr="001816A4" w:rsidSect="00B50234">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D49" w:rsidRDefault="00463D49" w:rsidP="006A35D8">
      <w:r>
        <w:separator/>
      </w:r>
    </w:p>
  </w:endnote>
  <w:endnote w:type="continuationSeparator" w:id="0">
    <w:p w:rsidR="00463D49" w:rsidRDefault="00463D49" w:rsidP="006A35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6EF" w:rsidRDefault="002776E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0"/>
      </w:rPr>
      <w:id w:val="83644396"/>
      <w:docPartObj>
        <w:docPartGallery w:val="Page Numbers (Bottom of Page)"/>
        <w:docPartUnique/>
      </w:docPartObj>
    </w:sdtPr>
    <w:sdtEndPr>
      <w:rPr>
        <w:szCs w:val="22"/>
      </w:rPr>
    </w:sdtEndPr>
    <w:sdtContent>
      <w:p w:rsidR="00463D49" w:rsidRDefault="00463D49" w:rsidP="00B50234">
        <w:pPr>
          <w:pStyle w:val="Piedepgina"/>
          <w:tabs>
            <w:tab w:val="clear" w:pos="8504"/>
            <w:tab w:val="right" w:pos="8789"/>
          </w:tabs>
          <w:spacing w:after="0"/>
          <w:jc w:val="left"/>
          <w:rPr>
            <w:szCs w:val="20"/>
          </w:rPr>
        </w:pPr>
      </w:p>
      <w:p w:rsidR="00463D49" w:rsidRPr="00CF0576" w:rsidRDefault="00DA7735" w:rsidP="00CF0576">
        <w:pPr>
          <w:pStyle w:val="Piedepgina"/>
          <w:tabs>
            <w:tab w:val="clear" w:pos="8504"/>
            <w:tab w:val="right" w:pos="8789"/>
          </w:tabs>
          <w:spacing w:after="0"/>
          <w:jc w:val="center"/>
          <w:rPr>
            <w:szCs w:val="20"/>
          </w:rPr>
        </w:pPr>
        <w:r w:rsidRPr="00CF0576">
          <w:rPr>
            <w:szCs w:val="20"/>
          </w:rPr>
          <w:fldChar w:fldCharType="begin"/>
        </w:r>
        <w:r w:rsidR="00463D49" w:rsidRPr="00CF0576">
          <w:rPr>
            <w:szCs w:val="20"/>
          </w:rPr>
          <w:instrText xml:space="preserve"> PAGE   \* MERGEFORMAT </w:instrText>
        </w:r>
        <w:r w:rsidRPr="00CF0576">
          <w:rPr>
            <w:szCs w:val="20"/>
          </w:rPr>
          <w:fldChar w:fldCharType="separate"/>
        </w:r>
        <w:r w:rsidR="00582B4B">
          <w:rPr>
            <w:noProof/>
            <w:szCs w:val="20"/>
          </w:rPr>
          <w:t>12</w:t>
        </w:r>
        <w:r w:rsidRPr="00CF0576">
          <w:rPr>
            <w:szCs w:val="20"/>
          </w:rPr>
          <w:fldChar w:fldCharType="end"/>
        </w:r>
        <w:r w:rsidR="00463D49" w:rsidRPr="00CF0576">
          <w:rPr>
            <w:szCs w:val="20"/>
          </w:rPr>
          <w:t xml:space="preserve"> </w:t>
        </w:r>
        <w:r w:rsidR="00463D49" w:rsidRPr="00CF0576">
          <w:rPr>
            <w:rStyle w:val="Nmerodepgina"/>
            <w:szCs w:val="20"/>
          </w:rPr>
          <w:t xml:space="preserve">de </w:t>
        </w:r>
        <w:r w:rsidRPr="00CF0576">
          <w:rPr>
            <w:rStyle w:val="Nmerodepgina"/>
            <w:szCs w:val="20"/>
          </w:rPr>
          <w:fldChar w:fldCharType="begin"/>
        </w:r>
        <w:r w:rsidR="00463D49" w:rsidRPr="00CF0576">
          <w:rPr>
            <w:rStyle w:val="Nmerodepgina"/>
            <w:szCs w:val="20"/>
          </w:rPr>
          <w:instrText xml:space="preserve"> NUMPAGES </w:instrText>
        </w:r>
        <w:r w:rsidRPr="00CF0576">
          <w:rPr>
            <w:rStyle w:val="Nmerodepgina"/>
            <w:szCs w:val="20"/>
          </w:rPr>
          <w:fldChar w:fldCharType="separate"/>
        </w:r>
        <w:r w:rsidR="00582B4B">
          <w:rPr>
            <w:rStyle w:val="Nmerodepgina"/>
            <w:noProof/>
            <w:szCs w:val="20"/>
          </w:rPr>
          <w:t>13</w:t>
        </w:r>
        <w:r w:rsidRPr="00CF0576">
          <w:rPr>
            <w:rStyle w:val="Nmerodepgina"/>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49" w:rsidRPr="00680A9A" w:rsidRDefault="00463D49" w:rsidP="00B50234">
    <w:pPr>
      <w:pStyle w:val="Piedepgina"/>
      <w:tabs>
        <w:tab w:val="clear" w:pos="4252"/>
        <w:tab w:val="clear" w:pos="8504"/>
        <w:tab w:val="left" w:pos="3481"/>
      </w:tabs>
      <w:jc w:val="left"/>
      <w:rPr>
        <w:szCs w:val="20"/>
        <w:lang w:val="en-US"/>
      </w:rPr>
    </w:pPr>
  </w:p>
  <w:p w:rsidR="00463D49" w:rsidRDefault="00DA7735" w:rsidP="00B50234">
    <w:pPr>
      <w:pStyle w:val="Piedepgina"/>
      <w:tabs>
        <w:tab w:val="clear" w:pos="4252"/>
        <w:tab w:val="clear" w:pos="8504"/>
        <w:tab w:val="left" w:pos="3481"/>
      </w:tabs>
      <w:jc w:val="center"/>
    </w:pPr>
    <w:r w:rsidRPr="00CF0576">
      <w:rPr>
        <w:szCs w:val="20"/>
      </w:rPr>
      <w:fldChar w:fldCharType="begin"/>
    </w:r>
    <w:r w:rsidR="00463D49" w:rsidRPr="00CF0576">
      <w:rPr>
        <w:szCs w:val="20"/>
      </w:rPr>
      <w:instrText xml:space="preserve"> PAGE   \* MERGEFORMAT </w:instrText>
    </w:r>
    <w:r w:rsidRPr="00CF0576">
      <w:rPr>
        <w:szCs w:val="20"/>
      </w:rPr>
      <w:fldChar w:fldCharType="separate"/>
    </w:r>
    <w:r w:rsidR="00582B4B">
      <w:rPr>
        <w:noProof/>
        <w:szCs w:val="20"/>
      </w:rPr>
      <w:t>1</w:t>
    </w:r>
    <w:r w:rsidRPr="00CF0576">
      <w:rPr>
        <w:szCs w:val="20"/>
      </w:rPr>
      <w:fldChar w:fldCharType="end"/>
    </w:r>
    <w:r w:rsidR="00463D49" w:rsidRPr="00CF0576">
      <w:rPr>
        <w:szCs w:val="20"/>
      </w:rPr>
      <w:t xml:space="preserve"> </w:t>
    </w:r>
    <w:r w:rsidR="00463D49" w:rsidRPr="00CF0576">
      <w:rPr>
        <w:rStyle w:val="Nmerodepgina"/>
        <w:szCs w:val="20"/>
      </w:rPr>
      <w:t xml:space="preserve">de </w:t>
    </w:r>
    <w:r w:rsidRPr="00CF0576">
      <w:rPr>
        <w:rStyle w:val="Nmerodepgina"/>
        <w:szCs w:val="20"/>
      </w:rPr>
      <w:fldChar w:fldCharType="begin"/>
    </w:r>
    <w:r w:rsidR="00463D49" w:rsidRPr="00CF0576">
      <w:rPr>
        <w:rStyle w:val="Nmerodepgina"/>
        <w:szCs w:val="20"/>
      </w:rPr>
      <w:instrText xml:space="preserve"> NUMPAGES </w:instrText>
    </w:r>
    <w:r w:rsidRPr="00CF0576">
      <w:rPr>
        <w:rStyle w:val="Nmerodepgina"/>
        <w:szCs w:val="20"/>
      </w:rPr>
      <w:fldChar w:fldCharType="separate"/>
    </w:r>
    <w:r w:rsidR="00582B4B">
      <w:rPr>
        <w:rStyle w:val="Nmerodepgina"/>
        <w:noProof/>
        <w:szCs w:val="20"/>
      </w:rPr>
      <w:t>13</w:t>
    </w:r>
    <w:r w:rsidRPr="00CF0576">
      <w:rPr>
        <w:rStyle w:val="Nmerodepgina"/>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D49" w:rsidRDefault="00463D49" w:rsidP="006A35D8">
      <w:r>
        <w:separator/>
      </w:r>
    </w:p>
  </w:footnote>
  <w:footnote w:type="continuationSeparator" w:id="0">
    <w:p w:rsidR="00463D49" w:rsidRDefault="00463D49" w:rsidP="006A3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6EF" w:rsidRDefault="002776E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1B" w:rsidRDefault="00332F1B" w:rsidP="00332F1B">
    <w:pPr>
      <w:pStyle w:val="Encabezado"/>
      <w:jc w:val="center"/>
    </w:pPr>
    <w:r w:rsidRPr="00332F1B">
      <w:rPr>
        <w:noProof/>
        <w:lang w:eastAsia="es-ES"/>
      </w:rPr>
      <w:drawing>
        <wp:inline distT="0" distB="0" distL="0" distR="0">
          <wp:extent cx="1248410" cy="779145"/>
          <wp:effectExtent l="19050" t="0" r="889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8410" cy="77914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1B" w:rsidRDefault="00332F1B" w:rsidP="00332F1B">
    <w:pPr>
      <w:pStyle w:val="Encabezado"/>
      <w:jc w:val="center"/>
    </w:pPr>
    <w:r w:rsidRPr="00332F1B">
      <w:rPr>
        <w:noProof/>
        <w:lang w:eastAsia="es-ES"/>
      </w:rPr>
      <w:drawing>
        <wp:inline distT="0" distB="0" distL="0" distR="0">
          <wp:extent cx="1248410" cy="779145"/>
          <wp:effectExtent l="1905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8410" cy="77914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7C9"/>
    <w:multiLevelType w:val="hybridMultilevel"/>
    <w:tmpl w:val="CE24F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791C94"/>
    <w:multiLevelType w:val="hybridMultilevel"/>
    <w:tmpl w:val="0D54A0D8"/>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
    <w:nsid w:val="01A25AE8"/>
    <w:multiLevelType w:val="hybridMultilevel"/>
    <w:tmpl w:val="7180A5AE"/>
    <w:lvl w:ilvl="0" w:tplc="0C0A0005">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nsid w:val="0A261742"/>
    <w:multiLevelType w:val="hybridMultilevel"/>
    <w:tmpl w:val="E2D47BFE"/>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
    <w:nsid w:val="0D9001AE"/>
    <w:multiLevelType w:val="hybridMultilevel"/>
    <w:tmpl w:val="E32A66E0"/>
    <w:lvl w:ilvl="0" w:tplc="85F46870">
      <w:start w:val="1"/>
      <w:numFmt w:val="bullet"/>
      <w:pStyle w:val="Sinespaciado"/>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70B354D"/>
    <w:multiLevelType w:val="hybridMultilevel"/>
    <w:tmpl w:val="112C3E10"/>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7990B5B"/>
    <w:multiLevelType w:val="hybridMultilevel"/>
    <w:tmpl w:val="B270F1CC"/>
    <w:lvl w:ilvl="0" w:tplc="0C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nsid w:val="17AB4389"/>
    <w:multiLevelType w:val="hybridMultilevel"/>
    <w:tmpl w:val="51E2BB70"/>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7CC28C2"/>
    <w:multiLevelType w:val="hybridMultilevel"/>
    <w:tmpl w:val="BE601676"/>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8343292"/>
    <w:multiLevelType w:val="hybridMultilevel"/>
    <w:tmpl w:val="71A41668"/>
    <w:lvl w:ilvl="0" w:tplc="157C8992">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8871E0C"/>
    <w:multiLevelType w:val="hybridMultilevel"/>
    <w:tmpl w:val="F12CE780"/>
    <w:lvl w:ilvl="0" w:tplc="0C0A000F">
      <w:start w:val="1"/>
      <w:numFmt w:val="decimal"/>
      <w:lvlText w:val="%1."/>
      <w:lvlJc w:val="left"/>
      <w:pPr>
        <w:ind w:left="1428"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1B7D3013"/>
    <w:multiLevelType w:val="hybridMultilevel"/>
    <w:tmpl w:val="F06CE5A8"/>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C6C0D2C"/>
    <w:multiLevelType w:val="hybridMultilevel"/>
    <w:tmpl w:val="1D4EA50A"/>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22C50EF3"/>
    <w:multiLevelType w:val="hybridMultilevel"/>
    <w:tmpl w:val="8ABA6AC2"/>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4">
    <w:nsid w:val="2ACC00D6"/>
    <w:multiLevelType w:val="hybridMultilevel"/>
    <w:tmpl w:val="615A2D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BA052A5"/>
    <w:multiLevelType w:val="hybridMultilevel"/>
    <w:tmpl w:val="718A2624"/>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3B35114A"/>
    <w:multiLevelType w:val="hybridMultilevel"/>
    <w:tmpl w:val="DB8043BC"/>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7">
    <w:nsid w:val="3BCC2F00"/>
    <w:multiLevelType w:val="hybridMultilevel"/>
    <w:tmpl w:val="A79EFCDC"/>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3CFD7CAD"/>
    <w:multiLevelType w:val="hybridMultilevel"/>
    <w:tmpl w:val="9B663976"/>
    <w:lvl w:ilvl="0" w:tplc="0C0A0005">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9">
    <w:nsid w:val="3E2563C3"/>
    <w:multiLevelType w:val="hybridMultilevel"/>
    <w:tmpl w:val="0CA0CC06"/>
    <w:lvl w:ilvl="0" w:tplc="0C0A0005">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0">
    <w:nsid w:val="3EE526BC"/>
    <w:multiLevelType w:val="hybridMultilevel"/>
    <w:tmpl w:val="825EB38C"/>
    <w:lvl w:ilvl="0" w:tplc="0C0A0005">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1">
    <w:nsid w:val="4A6A761A"/>
    <w:multiLevelType w:val="hybridMultilevel"/>
    <w:tmpl w:val="77427B9E"/>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732"/>
        </w:tabs>
        <w:ind w:left="732" w:hanging="360"/>
      </w:pPr>
      <w:rPr>
        <w:rFonts w:cs="Times New Roman"/>
      </w:rPr>
    </w:lvl>
    <w:lvl w:ilvl="2" w:tplc="0C0A0005">
      <w:start w:val="1"/>
      <w:numFmt w:val="decimal"/>
      <w:lvlText w:val="%3."/>
      <w:lvlJc w:val="left"/>
      <w:pPr>
        <w:tabs>
          <w:tab w:val="num" w:pos="1452"/>
        </w:tabs>
        <w:ind w:left="1452" w:hanging="360"/>
      </w:pPr>
      <w:rPr>
        <w:rFonts w:cs="Times New Roman"/>
      </w:rPr>
    </w:lvl>
    <w:lvl w:ilvl="3" w:tplc="0C0A0001">
      <w:start w:val="1"/>
      <w:numFmt w:val="decimal"/>
      <w:lvlText w:val="%4."/>
      <w:lvlJc w:val="left"/>
      <w:pPr>
        <w:tabs>
          <w:tab w:val="num" w:pos="2172"/>
        </w:tabs>
        <w:ind w:left="2172" w:hanging="360"/>
      </w:pPr>
      <w:rPr>
        <w:rFonts w:cs="Times New Roman"/>
      </w:rPr>
    </w:lvl>
    <w:lvl w:ilvl="4" w:tplc="0C0A0003">
      <w:start w:val="1"/>
      <w:numFmt w:val="decimal"/>
      <w:lvlText w:val="%5."/>
      <w:lvlJc w:val="left"/>
      <w:pPr>
        <w:tabs>
          <w:tab w:val="num" w:pos="2892"/>
        </w:tabs>
        <w:ind w:left="2892" w:hanging="360"/>
      </w:pPr>
      <w:rPr>
        <w:rFonts w:cs="Times New Roman"/>
      </w:rPr>
    </w:lvl>
    <w:lvl w:ilvl="5" w:tplc="0C0A0005">
      <w:start w:val="1"/>
      <w:numFmt w:val="decimal"/>
      <w:lvlText w:val="%6."/>
      <w:lvlJc w:val="left"/>
      <w:pPr>
        <w:tabs>
          <w:tab w:val="num" w:pos="3612"/>
        </w:tabs>
        <w:ind w:left="3612" w:hanging="360"/>
      </w:pPr>
      <w:rPr>
        <w:rFonts w:cs="Times New Roman"/>
      </w:rPr>
    </w:lvl>
    <w:lvl w:ilvl="6" w:tplc="0C0A0001">
      <w:start w:val="1"/>
      <w:numFmt w:val="decimal"/>
      <w:lvlText w:val="%7."/>
      <w:lvlJc w:val="left"/>
      <w:pPr>
        <w:tabs>
          <w:tab w:val="num" w:pos="4332"/>
        </w:tabs>
        <w:ind w:left="4332" w:hanging="360"/>
      </w:pPr>
      <w:rPr>
        <w:rFonts w:cs="Times New Roman"/>
      </w:rPr>
    </w:lvl>
    <w:lvl w:ilvl="7" w:tplc="0C0A0003">
      <w:start w:val="1"/>
      <w:numFmt w:val="decimal"/>
      <w:lvlText w:val="%8."/>
      <w:lvlJc w:val="left"/>
      <w:pPr>
        <w:tabs>
          <w:tab w:val="num" w:pos="5052"/>
        </w:tabs>
        <w:ind w:left="5052" w:hanging="360"/>
      </w:pPr>
      <w:rPr>
        <w:rFonts w:cs="Times New Roman"/>
      </w:rPr>
    </w:lvl>
    <w:lvl w:ilvl="8" w:tplc="0C0A0005">
      <w:start w:val="1"/>
      <w:numFmt w:val="decimal"/>
      <w:lvlText w:val="%9."/>
      <w:lvlJc w:val="left"/>
      <w:pPr>
        <w:tabs>
          <w:tab w:val="num" w:pos="5772"/>
        </w:tabs>
        <w:ind w:left="5772" w:hanging="360"/>
      </w:pPr>
      <w:rPr>
        <w:rFonts w:cs="Times New Roman"/>
      </w:rPr>
    </w:lvl>
  </w:abstractNum>
  <w:abstractNum w:abstractNumId="22">
    <w:nsid w:val="4CC310EF"/>
    <w:multiLevelType w:val="hybridMultilevel"/>
    <w:tmpl w:val="AED6CEB6"/>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508240EC"/>
    <w:multiLevelType w:val="hybridMultilevel"/>
    <w:tmpl w:val="59185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09956C0"/>
    <w:multiLevelType w:val="hybridMultilevel"/>
    <w:tmpl w:val="AEF2E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8AB68D4"/>
    <w:multiLevelType w:val="hybridMultilevel"/>
    <w:tmpl w:val="B8F05A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9AF4A12"/>
    <w:multiLevelType w:val="hybridMultilevel"/>
    <w:tmpl w:val="C75A703A"/>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7">
    <w:nsid w:val="5C7F4407"/>
    <w:multiLevelType w:val="hybridMultilevel"/>
    <w:tmpl w:val="046299F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8">
    <w:nsid w:val="60CC4373"/>
    <w:multiLevelType w:val="hybridMultilevel"/>
    <w:tmpl w:val="8FB47D54"/>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9">
    <w:nsid w:val="632560AF"/>
    <w:multiLevelType w:val="hybridMultilevel"/>
    <w:tmpl w:val="E92267B8"/>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64CF25A6"/>
    <w:multiLevelType w:val="hybridMultilevel"/>
    <w:tmpl w:val="38BA8BAC"/>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659E3262"/>
    <w:multiLevelType w:val="hybridMultilevel"/>
    <w:tmpl w:val="33CEC3D4"/>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65FE043C"/>
    <w:multiLevelType w:val="hybridMultilevel"/>
    <w:tmpl w:val="66C8809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83E555B"/>
    <w:multiLevelType w:val="hybridMultilevel"/>
    <w:tmpl w:val="9A98325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7546526E"/>
    <w:multiLevelType w:val="hybridMultilevel"/>
    <w:tmpl w:val="00086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E281A42"/>
    <w:multiLevelType w:val="hybridMultilevel"/>
    <w:tmpl w:val="1A3016EA"/>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7E98513E"/>
    <w:multiLevelType w:val="hybridMultilevel"/>
    <w:tmpl w:val="F78672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24"/>
  </w:num>
  <w:num w:numId="10">
    <w:abstractNumId w:val="36"/>
  </w:num>
  <w:num w:numId="11">
    <w:abstractNumId w:val="33"/>
  </w:num>
  <w:num w:numId="12">
    <w:abstractNumId w:val="4"/>
  </w:num>
  <w:num w:numId="13">
    <w:abstractNumId w:val="25"/>
  </w:num>
  <w:num w:numId="14">
    <w:abstractNumId w:val="32"/>
  </w:num>
  <w:num w:numId="15">
    <w:abstractNumId w:val="9"/>
  </w:num>
  <w:num w:numId="16">
    <w:abstractNumId w:val="23"/>
  </w:num>
  <w:num w:numId="17">
    <w:abstractNumId w:val="27"/>
  </w:num>
  <w:num w:numId="18">
    <w:abstractNumId w:val="6"/>
  </w:num>
  <w:num w:numId="19">
    <w:abstractNumId w:val="7"/>
  </w:num>
  <w:num w:numId="20">
    <w:abstractNumId w:val="12"/>
  </w:num>
  <w:num w:numId="21">
    <w:abstractNumId w:val="15"/>
  </w:num>
  <w:num w:numId="22">
    <w:abstractNumId w:val="18"/>
  </w:num>
  <w:num w:numId="23">
    <w:abstractNumId w:val="11"/>
  </w:num>
  <w:num w:numId="24">
    <w:abstractNumId w:val="0"/>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0"/>
  </w:num>
  <w:num w:numId="30">
    <w:abstractNumId w:val="35"/>
  </w:num>
  <w:num w:numId="31">
    <w:abstractNumId w:val="8"/>
  </w:num>
  <w:num w:numId="32">
    <w:abstractNumId w:val="22"/>
  </w:num>
  <w:num w:numId="33">
    <w:abstractNumId w:val="17"/>
  </w:num>
  <w:num w:numId="34">
    <w:abstractNumId w:val="2"/>
  </w:num>
  <w:num w:numId="35">
    <w:abstractNumId w:val="29"/>
  </w:num>
  <w:num w:numId="36">
    <w:abstractNumId w:val="14"/>
  </w:num>
  <w:num w:numId="37">
    <w:abstractNumId w:val="31"/>
  </w:num>
  <w:num w:numId="38">
    <w:abstractNumId w:val="30"/>
  </w:num>
  <w:num w:numId="39">
    <w:abstractNumId w:val="19"/>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hideSpellingErrors/>
  <w:hideGrammaticalErrors/>
  <w:defaultTabStop w:val="709"/>
  <w:hyphenationZone w:val="425"/>
  <w:drawingGridHorizontalSpacing w:val="100"/>
  <w:displayHorizontalDrawingGridEvery w:val="2"/>
  <w:characterSpacingControl w:val="doNotCompress"/>
  <w:hdrShapeDefaults>
    <o:shapedefaults v:ext="edit" spidmax="35841"/>
  </w:hdrShapeDefaults>
  <w:footnotePr>
    <w:footnote w:id="-1"/>
    <w:footnote w:id="0"/>
  </w:footnotePr>
  <w:endnotePr>
    <w:endnote w:id="-1"/>
    <w:endnote w:id="0"/>
  </w:endnotePr>
  <w:compat/>
  <w:rsids>
    <w:rsidRoot w:val="001D037C"/>
    <w:rsid w:val="00006DEB"/>
    <w:rsid w:val="000111EE"/>
    <w:rsid w:val="0002147B"/>
    <w:rsid w:val="00024E2D"/>
    <w:rsid w:val="0004383F"/>
    <w:rsid w:val="000442DE"/>
    <w:rsid w:val="00044DF7"/>
    <w:rsid w:val="00081F1E"/>
    <w:rsid w:val="00081F85"/>
    <w:rsid w:val="0008782C"/>
    <w:rsid w:val="000937C3"/>
    <w:rsid w:val="000E6388"/>
    <w:rsid w:val="0010081F"/>
    <w:rsid w:val="001103F9"/>
    <w:rsid w:val="00120342"/>
    <w:rsid w:val="0013747F"/>
    <w:rsid w:val="0014614E"/>
    <w:rsid w:val="00161C70"/>
    <w:rsid w:val="001816A4"/>
    <w:rsid w:val="00185EB5"/>
    <w:rsid w:val="001A6156"/>
    <w:rsid w:val="001C747F"/>
    <w:rsid w:val="001D037C"/>
    <w:rsid w:val="001D2C58"/>
    <w:rsid w:val="001D7BD7"/>
    <w:rsid w:val="001F4782"/>
    <w:rsid w:val="002059B7"/>
    <w:rsid w:val="002156D7"/>
    <w:rsid w:val="00227F71"/>
    <w:rsid w:val="00235905"/>
    <w:rsid w:val="00265165"/>
    <w:rsid w:val="00276FDB"/>
    <w:rsid w:val="002776EF"/>
    <w:rsid w:val="00290424"/>
    <w:rsid w:val="002909CA"/>
    <w:rsid w:val="00291B30"/>
    <w:rsid w:val="00297298"/>
    <w:rsid w:val="002C6ACE"/>
    <w:rsid w:val="002E1248"/>
    <w:rsid w:val="002E366F"/>
    <w:rsid w:val="002E3C29"/>
    <w:rsid w:val="002F67E7"/>
    <w:rsid w:val="003200CA"/>
    <w:rsid w:val="00331275"/>
    <w:rsid w:val="00332F1B"/>
    <w:rsid w:val="0039498E"/>
    <w:rsid w:val="00394A7D"/>
    <w:rsid w:val="003953CA"/>
    <w:rsid w:val="003F1D3E"/>
    <w:rsid w:val="00417E45"/>
    <w:rsid w:val="004372E7"/>
    <w:rsid w:val="00446F95"/>
    <w:rsid w:val="00463D49"/>
    <w:rsid w:val="00495563"/>
    <w:rsid w:val="004E0A04"/>
    <w:rsid w:val="004E6F85"/>
    <w:rsid w:val="004F0211"/>
    <w:rsid w:val="004F69FA"/>
    <w:rsid w:val="00525C5D"/>
    <w:rsid w:val="005276F6"/>
    <w:rsid w:val="00527934"/>
    <w:rsid w:val="005520B4"/>
    <w:rsid w:val="00582B4B"/>
    <w:rsid w:val="005A3202"/>
    <w:rsid w:val="005A4523"/>
    <w:rsid w:val="005B058E"/>
    <w:rsid w:val="005C0907"/>
    <w:rsid w:val="005C1157"/>
    <w:rsid w:val="005D0054"/>
    <w:rsid w:val="005D7F94"/>
    <w:rsid w:val="00601370"/>
    <w:rsid w:val="00607AAD"/>
    <w:rsid w:val="00621734"/>
    <w:rsid w:val="00625A13"/>
    <w:rsid w:val="00660838"/>
    <w:rsid w:val="006759D6"/>
    <w:rsid w:val="00680A9A"/>
    <w:rsid w:val="006A35D8"/>
    <w:rsid w:val="006A3909"/>
    <w:rsid w:val="006C45D9"/>
    <w:rsid w:val="006E1563"/>
    <w:rsid w:val="007066B1"/>
    <w:rsid w:val="00710EB8"/>
    <w:rsid w:val="007209D3"/>
    <w:rsid w:val="00723922"/>
    <w:rsid w:val="007313CF"/>
    <w:rsid w:val="00741D2E"/>
    <w:rsid w:val="0074756B"/>
    <w:rsid w:val="007509AC"/>
    <w:rsid w:val="00763821"/>
    <w:rsid w:val="007765B4"/>
    <w:rsid w:val="007928BA"/>
    <w:rsid w:val="007A3BA5"/>
    <w:rsid w:val="007B76C4"/>
    <w:rsid w:val="007D1541"/>
    <w:rsid w:val="007E0631"/>
    <w:rsid w:val="007F0C1E"/>
    <w:rsid w:val="007F62B8"/>
    <w:rsid w:val="00805663"/>
    <w:rsid w:val="0082341C"/>
    <w:rsid w:val="00824649"/>
    <w:rsid w:val="0083462B"/>
    <w:rsid w:val="0085069C"/>
    <w:rsid w:val="00864F06"/>
    <w:rsid w:val="00872B1B"/>
    <w:rsid w:val="008C007C"/>
    <w:rsid w:val="008C7211"/>
    <w:rsid w:val="008E1F63"/>
    <w:rsid w:val="008E20B9"/>
    <w:rsid w:val="008F0A1D"/>
    <w:rsid w:val="009659F9"/>
    <w:rsid w:val="00972C18"/>
    <w:rsid w:val="00973ECD"/>
    <w:rsid w:val="009760BB"/>
    <w:rsid w:val="00976C89"/>
    <w:rsid w:val="00982605"/>
    <w:rsid w:val="009B5396"/>
    <w:rsid w:val="009F07D2"/>
    <w:rsid w:val="009F7497"/>
    <w:rsid w:val="00A13608"/>
    <w:rsid w:val="00A22251"/>
    <w:rsid w:val="00A36347"/>
    <w:rsid w:val="00A45DBD"/>
    <w:rsid w:val="00A94B98"/>
    <w:rsid w:val="00AA3F4C"/>
    <w:rsid w:val="00AD45CA"/>
    <w:rsid w:val="00B50234"/>
    <w:rsid w:val="00B73264"/>
    <w:rsid w:val="00B87034"/>
    <w:rsid w:val="00BA0942"/>
    <w:rsid w:val="00BA0E6B"/>
    <w:rsid w:val="00BA15A5"/>
    <w:rsid w:val="00BD0002"/>
    <w:rsid w:val="00C04EEF"/>
    <w:rsid w:val="00C101A6"/>
    <w:rsid w:val="00C25871"/>
    <w:rsid w:val="00C52E86"/>
    <w:rsid w:val="00C63707"/>
    <w:rsid w:val="00C66197"/>
    <w:rsid w:val="00C820FC"/>
    <w:rsid w:val="00C87B42"/>
    <w:rsid w:val="00CA14CF"/>
    <w:rsid w:val="00CF0576"/>
    <w:rsid w:val="00D15CA3"/>
    <w:rsid w:val="00D401EE"/>
    <w:rsid w:val="00D46215"/>
    <w:rsid w:val="00D50855"/>
    <w:rsid w:val="00D53DBE"/>
    <w:rsid w:val="00DA393B"/>
    <w:rsid w:val="00DA7735"/>
    <w:rsid w:val="00DB45A8"/>
    <w:rsid w:val="00E05833"/>
    <w:rsid w:val="00E318AA"/>
    <w:rsid w:val="00E35D6B"/>
    <w:rsid w:val="00E82FE1"/>
    <w:rsid w:val="00EB72B7"/>
    <w:rsid w:val="00EC00AA"/>
    <w:rsid w:val="00EC2CFC"/>
    <w:rsid w:val="00F00369"/>
    <w:rsid w:val="00F01635"/>
    <w:rsid w:val="00F04C2B"/>
    <w:rsid w:val="00F14997"/>
    <w:rsid w:val="00F3772B"/>
    <w:rsid w:val="00F5383C"/>
    <w:rsid w:val="00F70B21"/>
    <w:rsid w:val="00F70BE9"/>
    <w:rsid w:val="00FA6A44"/>
    <w:rsid w:val="00FD4DD3"/>
    <w:rsid w:val="00FE2F00"/>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A"/>
    <w:pPr>
      <w:spacing w:after="120"/>
    </w:pPr>
    <w:rPr>
      <w:rFonts w:ascii="Calibri" w:eastAsia="Times New Roman" w:hAnsi="Calibri" w:cs="Times New Roman"/>
      <w:sz w:val="20"/>
    </w:rPr>
  </w:style>
  <w:style w:type="paragraph" w:styleId="Ttulo1">
    <w:name w:val="heading 1"/>
    <w:basedOn w:val="Normal"/>
    <w:next w:val="Normal"/>
    <w:link w:val="Ttulo1Car"/>
    <w:uiPriority w:val="9"/>
    <w:qFormat/>
    <w:rsid w:val="00872B1B"/>
    <w:pPr>
      <w:keepNext/>
      <w:keepLines/>
      <w:pBdr>
        <w:top w:val="single" w:sz="2" w:space="1" w:color="4F81BD" w:themeColor="accent1"/>
        <w:left w:val="single" w:sz="2" w:space="4" w:color="4F81BD" w:themeColor="accent1"/>
        <w:bottom w:val="single" w:sz="2" w:space="1" w:color="4F81BD" w:themeColor="accent1"/>
        <w:right w:val="single" w:sz="2" w:space="4" w:color="4F81BD" w:themeColor="accent1"/>
      </w:pBdr>
      <w:shd w:val="clear" w:color="auto" w:fill="548DD4" w:themeFill="text2" w:themeFillTint="99"/>
      <w:spacing w:before="480" w:line="360" w:lineRule="auto"/>
      <w:jc w:val="left"/>
      <w:outlineLvl w:val="0"/>
    </w:pPr>
    <w:rPr>
      <w:rFonts w:eastAsiaTheme="majorEastAsia" w:cstheme="majorBidi"/>
      <w:b/>
      <w:bCs/>
      <w:caps/>
      <w:color w:val="FFFFFF" w:themeColor="background1"/>
      <w:sz w:val="22"/>
    </w:rPr>
  </w:style>
  <w:style w:type="paragraph" w:styleId="Ttulo2">
    <w:name w:val="heading 2"/>
    <w:basedOn w:val="Normal"/>
    <w:next w:val="Normal"/>
    <w:link w:val="Ttulo2Car"/>
    <w:uiPriority w:val="9"/>
    <w:unhideWhenUsed/>
    <w:qFormat/>
    <w:rsid w:val="00872B1B"/>
    <w:pPr>
      <w:keepNext/>
      <w:pBdr>
        <w:top w:val="single" w:sz="24" w:space="0" w:color="DBE5F1"/>
        <w:left w:val="single" w:sz="24" w:space="0" w:color="DBE5F1"/>
        <w:bottom w:val="single" w:sz="24" w:space="0" w:color="DBE5F1"/>
        <w:right w:val="single" w:sz="24" w:space="0" w:color="DBE5F1"/>
      </w:pBdr>
      <w:shd w:val="clear" w:color="auto" w:fill="DBE5F1"/>
      <w:spacing w:before="360" w:line="276" w:lineRule="auto"/>
      <w:jc w:val="left"/>
      <w:outlineLvl w:val="1"/>
    </w:pPr>
    <w:rPr>
      <w:rFonts w:cs="Calibri"/>
      <w:caps/>
      <w:spacing w:val="15"/>
      <w:sz w:val="22"/>
    </w:rPr>
  </w:style>
  <w:style w:type="paragraph" w:styleId="Ttulo3">
    <w:name w:val="heading 3"/>
    <w:basedOn w:val="Normal"/>
    <w:next w:val="Normal"/>
    <w:link w:val="Ttulo3Car"/>
    <w:uiPriority w:val="9"/>
    <w:unhideWhenUsed/>
    <w:qFormat/>
    <w:rsid w:val="004372E7"/>
    <w:pPr>
      <w:keepNext/>
      <w:keepLines/>
      <w:spacing w:before="200" w:beforeAutospacing="1" w:afterAutospacing="1" w:line="360" w:lineRule="auto"/>
      <w:jc w:val="left"/>
      <w:outlineLvl w:val="2"/>
    </w:pPr>
    <w:rPr>
      <w:rFonts w:eastAsiaTheme="majorEastAsia" w:cstheme="majorBidi"/>
      <w:b/>
      <w:bCs/>
      <w:i/>
    </w:rPr>
  </w:style>
  <w:style w:type="paragraph" w:styleId="Ttulo4">
    <w:name w:val="heading 4"/>
    <w:basedOn w:val="Normal"/>
    <w:next w:val="Normal"/>
    <w:link w:val="Ttulo4Car"/>
    <w:uiPriority w:val="9"/>
    <w:unhideWhenUsed/>
    <w:qFormat/>
    <w:rsid w:val="00FE2F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037C"/>
    <w:pPr>
      <w:ind w:left="720"/>
    </w:pPr>
    <w:rPr>
      <w:lang w:eastAsia="es-ES"/>
    </w:rPr>
  </w:style>
  <w:style w:type="character" w:styleId="Hipervnculo">
    <w:name w:val="Hyperlink"/>
    <w:basedOn w:val="Fuentedeprrafopredeter"/>
    <w:uiPriority w:val="99"/>
    <w:rsid w:val="0074756B"/>
    <w:rPr>
      <w:rFonts w:ascii="Times New Roman" w:hAnsi="Times New Roman" w:cs="Times New Roman"/>
      <w:color w:val="0000FF"/>
      <w:u w:val="single"/>
    </w:rPr>
  </w:style>
  <w:style w:type="paragraph" w:styleId="Textodeglobo">
    <w:name w:val="Balloon Text"/>
    <w:basedOn w:val="Normal"/>
    <w:link w:val="TextodegloboCar"/>
    <w:uiPriority w:val="99"/>
    <w:semiHidden/>
    <w:unhideWhenUsed/>
    <w:rsid w:val="002F67E7"/>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7E7"/>
    <w:rPr>
      <w:rFonts w:ascii="Tahoma" w:eastAsia="Times New Roman" w:hAnsi="Tahoma" w:cs="Tahoma"/>
      <w:sz w:val="16"/>
      <w:szCs w:val="16"/>
    </w:rPr>
  </w:style>
  <w:style w:type="paragraph" w:styleId="Encabezado">
    <w:name w:val="header"/>
    <w:basedOn w:val="Normal"/>
    <w:link w:val="EncabezadoCar"/>
    <w:uiPriority w:val="99"/>
    <w:unhideWhenUsed/>
    <w:rsid w:val="006A35D8"/>
    <w:pPr>
      <w:tabs>
        <w:tab w:val="center" w:pos="4252"/>
        <w:tab w:val="right" w:pos="8504"/>
      </w:tabs>
    </w:pPr>
  </w:style>
  <w:style w:type="character" w:customStyle="1" w:styleId="EncabezadoCar">
    <w:name w:val="Encabezado Car"/>
    <w:basedOn w:val="Fuentedeprrafopredeter"/>
    <w:link w:val="Encabezado"/>
    <w:uiPriority w:val="99"/>
    <w:rsid w:val="006A35D8"/>
    <w:rPr>
      <w:rFonts w:ascii="Calibri" w:eastAsia="Times New Roman" w:hAnsi="Calibri" w:cs="Times New Roman"/>
    </w:rPr>
  </w:style>
  <w:style w:type="paragraph" w:styleId="Piedepgina">
    <w:name w:val="footer"/>
    <w:basedOn w:val="Normal"/>
    <w:link w:val="PiedepginaCar"/>
    <w:uiPriority w:val="99"/>
    <w:unhideWhenUsed/>
    <w:rsid w:val="006A35D8"/>
    <w:pPr>
      <w:tabs>
        <w:tab w:val="center" w:pos="4252"/>
        <w:tab w:val="right" w:pos="8504"/>
      </w:tabs>
    </w:pPr>
  </w:style>
  <w:style w:type="character" w:customStyle="1" w:styleId="PiedepginaCar">
    <w:name w:val="Pie de página Car"/>
    <w:basedOn w:val="Fuentedeprrafopredeter"/>
    <w:link w:val="Piedepgina"/>
    <w:uiPriority w:val="99"/>
    <w:rsid w:val="006A35D8"/>
    <w:rPr>
      <w:rFonts w:ascii="Calibri" w:eastAsia="Times New Roman" w:hAnsi="Calibri" w:cs="Times New Roman"/>
    </w:rPr>
  </w:style>
  <w:style w:type="character" w:customStyle="1" w:styleId="Ttulo3Car">
    <w:name w:val="Título 3 Car"/>
    <w:basedOn w:val="Fuentedeprrafopredeter"/>
    <w:link w:val="Ttulo3"/>
    <w:uiPriority w:val="9"/>
    <w:rsid w:val="004372E7"/>
    <w:rPr>
      <w:rFonts w:ascii="Calibri" w:eastAsiaTheme="majorEastAsia" w:hAnsi="Calibri" w:cstheme="majorBidi"/>
      <w:b/>
      <w:bCs/>
      <w:i/>
      <w:sz w:val="20"/>
    </w:rPr>
  </w:style>
  <w:style w:type="paragraph" w:styleId="Sinespaciado">
    <w:name w:val="No Spacing"/>
    <w:aliases w:val="Viñetas"/>
    <w:uiPriority w:val="1"/>
    <w:qFormat/>
    <w:rsid w:val="008C7211"/>
    <w:pPr>
      <w:numPr>
        <w:numId w:val="12"/>
      </w:numPr>
      <w:spacing w:after="120"/>
    </w:pPr>
    <w:rPr>
      <w:rFonts w:ascii="Calibri" w:eastAsia="Times New Roman" w:hAnsi="Calibri" w:cs="Times New Roman"/>
      <w:sz w:val="20"/>
    </w:rPr>
  </w:style>
  <w:style w:type="character" w:customStyle="1" w:styleId="Ttulo1Car">
    <w:name w:val="Título 1 Car"/>
    <w:basedOn w:val="Fuentedeprrafopredeter"/>
    <w:link w:val="Ttulo1"/>
    <w:uiPriority w:val="9"/>
    <w:rsid w:val="00872B1B"/>
    <w:rPr>
      <w:rFonts w:ascii="Calibri" w:eastAsiaTheme="majorEastAsia" w:hAnsi="Calibri" w:cstheme="majorBidi"/>
      <w:b/>
      <w:bCs/>
      <w:caps/>
      <w:color w:val="FFFFFF" w:themeColor="background1"/>
      <w:shd w:val="clear" w:color="auto" w:fill="548DD4" w:themeFill="text2" w:themeFillTint="99"/>
    </w:rPr>
  </w:style>
  <w:style w:type="character" w:customStyle="1" w:styleId="Ttulo2Car">
    <w:name w:val="Título 2 Car"/>
    <w:basedOn w:val="Fuentedeprrafopredeter"/>
    <w:link w:val="Ttulo2"/>
    <w:uiPriority w:val="9"/>
    <w:rsid w:val="00872B1B"/>
    <w:rPr>
      <w:rFonts w:ascii="Calibri" w:eastAsia="Times New Roman" w:hAnsi="Calibri" w:cs="Calibri"/>
      <w:caps/>
      <w:spacing w:val="15"/>
      <w:shd w:val="clear" w:color="auto" w:fill="DBE5F1"/>
    </w:rPr>
  </w:style>
  <w:style w:type="character" w:styleId="Nmerodepgina">
    <w:name w:val="page number"/>
    <w:basedOn w:val="Fuentedeprrafopredeter"/>
    <w:rsid w:val="00CF0576"/>
  </w:style>
  <w:style w:type="character" w:customStyle="1" w:styleId="mw-headline">
    <w:name w:val="mw-headline"/>
    <w:basedOn w:val="Fuentedeprrafopredeter"/>
    <w:rsid w:val="00872B1B"/>
    <w:rPr>
      <w:rFonts w:ascii="Times New Roman" w:hAnsi="Times New Roman" w:cs="Times New Roman"/>
    </w:rPr>
  </w:style>
  <w:style w:type="character" w:styleId="nfasissutil">
    <w:name w:val="Subtle Emphasis"/>
    <w:basedOn w:val="Fuentedeprrafopredeter"/>
    <w:uiPriority w:val="19"/>
    <w:qFormat/>
    <w:rsid w:val="00872B1B"/>
    <w:rPr>
      <w:iCs/>
      <w:color w:val="auto"/>
    </w:rPr>
  </w:style>
  <w:style w:type="character" w:customStyle="1" w:styleId="Ttulo4Car">
    <w:name w:val="Título 4 Car"/>
    <w:basedOn w:val="Fuentedeprrafopredeter"/>
    <w:link w:val="Ttulo4"/>
    <w:uiPriority w:val="9"/>
    <w:rsid w:val="00FE2F00"/>
    <w:rPr>
      <w:rFonts w:asciiTheme="majorHAnsi" w:eastAsiaTheme="majorEastAsia" w:hAnsiTheme="majorHAnsi" w:cstheme="majorBidi"/>
      <w:b/>
      <w:bCs/>
      <w:i/>
      <w:iCs/>
      <w:color w:val="4F81BD" w:themeColor="accent1"/>
      <w:sz w:val="20"/>
    </w:rPr>
  </w:style>
  <w:style w:type="character" w:styleId="Hipervnculovisitado">
    <w:name w:val="FollowedHyperlink"/>
    <w:basedOn w:val="Fuentedeprrafopredeter"/>
    <w:uiPriority w:val="99"/>
    <w:semiHidden/>
    <w:unhideWhenUsed/>
    <w:rsid w:val="00A22251"/>
    <w:rPr>
      <w:color w:val="800080" w:themeColor="followedHyperlink"/>
      <w:u w:val="single"/>
    </w:rPr>
  </w:style>
  <w:style w:type="character" w:styleId="Refdenotaalpie">
    <w:name w:val="footnote reference"/>
    <w:basedOn w:val="Fuentedeprrafopredeter"/>
    <w:semiHidden/>
    <w:rsid w:val="00824649"/>
    <w:rPr>
      <w:vertAlign w:val="superscript"/>
    </w:rPr>
  </w:style>
  <w:style w:type="paragraph" w:customStyle="1" w:styleId="Default">
    <w:name w:val="Default"/>
    <w:rsid w:val="002156D7"/>
    <w:pPr>
      <w:autoSpaceDE w:val="0"/>
      <w:autoSpaceDN w:val="0"/>
      <w:adjustRightInd w:val="0"/>
      <w:jc w:val="left"/>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8872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wp-srv/special/politics/debt-ceiling/highlights-of-the-deal/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92.net" TargetMode="External"/><Relationship Id="rId4" Type="http://schemas.openxmlformats.org/officeDocument/2006/relationships/settings" Target="settings.xml"/><Relationship Id="rId9" Type="http://schemas.openxmlformats.org/officeDocument/2006/relationships/hyperlink" Target="http://www.ferc.gov/legal/staff-reports/08-16-11-report.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E4E30-6BB3-490A-B028-F1C7FDD1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6587</Words>
  <Characters>33929</Characters>
  <Application>Microsoft Office Word</Application>
  <DocSecurity>0</DocSecurity>
  <Lines>491</Lines>
  <Paragraphs>166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2011-09-23T08:15:00Z</dcterms:created>
  <dcterms:modified xsi:type="dcterms:W3CDTF">2011-09-23T08:15:00Z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_AdHocReviewCycleID">
    <vt:i4>-1251374343</vt:i4>
  </property>
  <property fmtid="{D5CDD505-2E9C-101B-9397-08002B2CF9AE}" pid="4" name="_NewReviewCycle">
    <vt:lpwstr/>
  </property>
</Properties>
</file>