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3429D5" w:rsidP="00030844">
      <w:pPr>
        <w:pStyle w:val="Ttulo1"/>
        <w:pBdr>
          <w:top w:val="single" w:sz="2" w:space="0" w:color="4F81BD"/>
        </w:pBdr>
        <w:tabs>
          <w:tab w:val="left" w:pos="284"/>
        </w:tabs>
      </w:pPr>
      <w:r>
        <w:t>seguimiento de noticias de regulación internacional</w:t>
      </w:r>
    </w:p>
    <w:p w:rsidR="003429D5" w:rsidRDefault="00CA5D0E" w:rsidP="003429D5">
      <w:pPr>
        <w:jc w:val="center"/>
      </w:pPr>
      <w:r>
        <w:t>Enero</w:t>
      </w:r>
      <w:r w:rsidR="003429D5">
        <w:t>-</w:t>
      </w:r>
      <w:r>
        <w:t>febrero 2012</w:t>
      </w:r>
    </w:p>
    <w:p w:rsidR="0083462B" w:rsidRPr="007765B4" w:rsidRDefault="003429D5" w:rsidP="007765B4">
      <w:pPr>
        <w:pStyle w:val="Ttulo2"/>
      </w:pPr>
      <w:r>
        <w:t>sumario</w:t>
      </w:r>
      <w:r w:rsidR="006A3909" w:rsidRPr="007765B4">
        <w:t xml:space="preserve">                                                                                                         </w:t>
      </w:r>
    </w:p>
    <w:p w:rsidR="00CA5D0E" w:rsidRPr="00CA5D0E" w:rsidRDefault="00CA5D0E" w:rsidP="00CA5D0E">
      <w:pPr>
        <w:spacing w:before="100" w:beforeAutospacing="1" w:after="100" w:afterAutospacing="1" w:line="276" w:lineRule="auto"/>
      </w:pPr>
      <w:r w:rsidRPr="00CA5D0E">
        <w:t>Se resumen las noticias sobre distintas iniciativas y novedades regulatorias dadas a conocer a lo largo del primer bimestre del año 2012. En esta ocasión se refieren distintas iniciativas del presidente Obama y de diversos miembros del Congreso norteamericano que resultarán probablemente infructuosas al menos hasta fin de año, tendentes a la extensión de los mecanismos federales de apoyo a las renovables. Asimismo</w:t>
      </w:r>
      <w:r w:rsidR="00D562A4">
        <w:t>,</w:t>
      </w:r>
      <w:r w:rsidRPr="00CA5D0E">
        <w:t xml:space="preserve"> se recogen diversas iniciativas de reforma de las normativas eléctricas Europeas y de fomento de renovables en Europa y EE.UU, así como los debates sobre ajustes tarifarios en diversos países europeos. La nueva propuesta de primas a la fotovoltaica en Alemania y las previsiones de incrementos tarifarios en Francia a medio plazo se exponen con mayor detenimiento.</w:t>
      </w:r>
    </w:p>
    <w:p w:rsidR="00CA5D0E" w:rsidRPr="00CA5D0E" w:rsidRDefault="00CA5D0E" w:rsidP="00CA5D0E">
      <w:pPr>
        <w:spacing w:before="100" w:beforeAutospacing="1" w:after="100" w:afterAutospacing="1" w:line="276" w:lineRule="auto"/>
      </w:pPr>
      <w:r w:rsidRPr="00CA5D0E">
        <w:t>Se introduce al final de documento un glosario para mejor comprensión de las abreviaturas y acrónimos empleados.</w:t>
      </w:r>
    </w:p>
    <w:p w:rsidR="000322F5" w:rsidRDefault="000322F5" w:rsidP="003429D5">
      <w:pPr>
        <w:pStyle w:val="Ttulo2"/>
      </w:pPr>
      <w:r>
        <w:t>Temas de fondo</w:t>
      </w:r>
    </w:p>
    <w:p w:rsidR="00CA5D0E" w:rsidRDefault="00CA5D0E" w:rsidP="00E05893">
      <w:pPr>
        <w:spacing w:before="100" w:beforeAutospacing="1" w:after="100" w:afterAutospacing="1" w:line="276" w:lineRule="auto"/>
        <w:rPr>
          <w:rFonts w:eastAsiaTheme="majorEastAsia" w:cstheme="majorBidi"/>
          <w:b/>
          <w:bCs/>
          <w:i/>
        </w:rPr>
      </w:pPr>
      <w:r w:rsidRPr="00CA5D0E">
        <w:rPr>
          <w:rFonts w:eastAsiaTheme="majorEastAsia" w:cstheme="majorBidi"/>
          <w:b/>
          <w:bCs/>
          <w:i/>
        </w:rPr>
        <w:t>Temas EEUU- discurso sobre el estado de la Unión y las vicisitudes parlamentarias de los PTC</w:t>
      </w:r>
    </w:p>
    <w:p w:rsidR="00CA5D0E" w:rsidRDefault="00CA5D0E" w:rsidP="00CA5D0E">
      <w:pPr>
        <w:shd w:val="clear" w:color="auto" w:fill="FFFFFF"/>
        <w:spacing w:before="100" w:beforeAutospacing="1" w:after="100" w:afterAutospacing="1" w:line="276" w:lineRule="auto"/>
      </w:pPr>
      <w:r>
        <w:t>Durante el discurso sobre el “Estado de la Unión” del 25 de enero, Obama reiteró su visión sobre política energética, la cual se debería basar en la producció</w:t>
      </w:r>
      <w:r w:rsidR="00D562A4">
        <w:t>n doméstica y fuentes más limpia</w:t>
      </w:r>
      <w:r>
        <w:t>s. El Presidente animó al Congreso a aprobar los “</w:t>
      </w:r>
      <w:proofErr w:type="spellStart"/>
      <w:r>
        <w:t>clean</w:t>
      </w:r>
      <w:proofErr w:type="spellEnd"/>
      <w:r>
        <w:t xml:space="preserve"> </w:t>
      </w:r>
      <w:proofErr w:type="spellStart"/>
      <w:r>
        <w:t>energy</w:t>
      </w:r>
      <w:proofErr w:type="spellEnd"/>
      <w:r>
        <w:t xml:space="preserve"> </w:t>
      </w:r>
      <w:proofErr w:type="spellStart"/>
      <w:r>
        <w:t>tax</w:t>
      </w:r>
      <w:proofErr w:type="spellEnd"/>
      <w:r>
        <w:t xml:space="preserve"> </w:t>
      </w:r>
      <w:proofErr w:type="spellStart"/>
      <w:r>
        <w:t>credits</w:t>
      </w:r>
      <w:proofErr w:type="spellEnd"/>
      <w:r>
        <w:t xml:space="preserve">” así como la finalización de los subsidios a la industria petrolera, </w:t>
      </w:r>
      <w:r w:rsidR="00D562A4">
        <w:t>para dirigirlos a</w:t>
      </w:r>
      <w:r>
        <w:t xml:space="preserve"> la industria de las energías limpias. Además</w:t>
      </w:r>
      <w:r w:rsidR="00D562A4">
        <w:t>,</w:t>
      </w:r>
      <w:r>
        <w:t xml:space="preserve"> manifestó su apoyo por un “</w:t>
      </w:r>
      <w:proofErr w:type="spellStart"/>
      <w:r>
        <w:t>clean</w:t>
      </w:r>
      <w:proofErr w:type="spellEnd"/>
      <w:r>
        <w:t xml:space="preserve"> </w:t>
      </w:r>
      <w:proofErr w:type="spellStart"/>
      <w:r>
        <w:t>energy</w:t>
      </w:r>
      <w:proofErr w:type="spellEnd"/>
      <w:r>
        <w:t xml:space="preserve"> </w:t>
      </w:r>
      <w:proofErr w:type="spellStart"/>
      <w:r>
        <w:t>standard</w:t>
      </w:r>
      <w:proofErr w:type="spellEnd"/>
      <w:r>
        <w:t xml:space="preserve">” a nivel nacional. El Presidente también anunció la expansión de los recursos </w:t>
      </w:r>
      <w:r w:rsidRPr="00D562A4">
        <w:rPr>
          <w:i/>
        </w:rPr>
        <w:t>offshore</w:t>
      </w:r>
      <w:r>
        <w:t xml:space="preserve"> de la explotación de petróleo y gas, el desarrollo de los recursos nacionales de gas tanto como fuese posible, además de pedir más inversiones para revitalizar el desarrollo de </w:t>
      </w:r>
      <w:r w:rsidR="00D562A4">
        <w:t>l</w:t>
      </w:r>
      <w:r>
        <w:t xml:space="preserve">as redes de transporte, un plan de acción federal para el desarrollo de energías limpias y políticas para impulsar la eficiencia energética comercial e industrial de promocionar las energías renovables. (EPD 26.01) </w:t>
      </w:r>
    </w:p>
    <w:p w:rsidR="00CA5D0E" w:rsidRDefault="00CA5D0E" w:rsidP="00CA5D0E">
      <w:pPr>
        <w:shd w:val="clear" w:color="auto" w:fill="FFFFFF"/>
        <w:spacing w:before="100" w:beforeAutospacing="1" w:after="100" w:afterAutospacing="1" w:line="276" w:lineRule="auto"/>
      </w:pPr>
      <w:r>
        <w:t>En esta misma línea se presenta el documento con propuestas fiscales dado a conocer por el presidente Obama un mes después, el 25 de febrero reordenando de forma significativa la aplicación de tipos fiscales y exenciones y convirtiendo en permanentes los créditos fiscales como medida de apoyo a las renovables, hasta ahora afectados por los problemas de la intermitencia y la temporalidad de su vigencia.</w:t>
      </w:r>
    </w:p>
    <w:p w:rsidR="00CA5D0E" w:rsidRDefault="00CA5D0E" w:rsidP="00CA5D0E">
      <w:pPr>
        <w:shd w:val="clear" w:color="auto" w:fill="FFFFFF"/>
        <w:spacing w:before="100" w:beforeAutospacing="1" w:after="100" w:afterAutospacing="1" w:line="276" w:lineRule="auto"/>
      </w:pPr>
      <w:r>
        <w:t>Pese a estos anuncios y propuestas mucho más en clave electoral que destinados a su plasmación legislativa antes de las elecciones de noviembre, es poco probable que se materialicen en cualquier tipo de norma en 2012 por la continua división en ambas cámaras entre los Demócratas y Republicanos.</w:t>
      </w:r>
    </w:p>
    <w:p w:rsidR="00CA5D0E" w:rsidRDefault="00CA5D0E" w:rsidP="00CA5D0E">
      <w:pPr>
        <w:shd w:val="clear" w:color="auto" w:fill="FFFFFF"/>
        <w:spacing w:before="100" w:beforeAutospacing="1" w:after="100" w:afterAutospacing="1" w:line="276" w:lineRule="auto"/>
      </w:pPr>
      <w:r>
        <w:lastRenderedPageBreak/>
        <w:t xml:space="preserve">A pesar de todo, se han producido diversas iniciativas parlamentario en apoyo de la extensión de los PTC, algunas amparadas por congresistas de ambos grupos políticos con argumentos de defensa de la industria y el empleo. Ninguna de estas iniciativas ha posado realmente cuajar, como estaba por otra parte previsto. </w:t>
      </w:r>
    </w:p>
    <w:p w:rsidR="00CA5D0E" w:rsidRDefault="00CA5D0E" w:rsidP="00CA5D0E">
      <w:pPr>
        <w:shd w:val="clear" w:color="auto" w:fill="FFFFFF"/>
        <w:spacing w:before="100" w:beforeAutospacing="1" w:after="100" w:afterAutospacing="1" w:line="276" w:lineRule="auto"/>
      </w:pPr>
      <w:r>
        <w:t>El 1</w:t>
      </w:r>
      <w:r w:rsidR="00B677F1">
        <w:t xml:space="preserve"> de marzo, el senador </w:t>
      </w:r>
      <w:proofErr w:type="spellStart"/>
      <w:r w:rsidR="00B677F1">
        <w:t>Bingaman</w:t>
      </w:r>
      <w:proofErr w:type="spellEnd"/>
      <w:r w:rsidR="00B677F1">
        <w:t>,</w:t>
      </w:r>
      <w:r>
        <w:t xml:space="preserve"> presidente del comité de energía y recursos naturales</w:t>
      </w:r>
      <w:r w:rsidR="00B677F1">
        <w:t>,</w:t>
      </w:r>
      <w:r>
        <w:t xml:space="preserve"> ha presentado una propuest</w:t>
      </w:r>
      <w:r w:rsidR="00B677F1">
        <w:t>a legislativa para establecer el</w:t>
      </w:r>
      <w:r>
        <w:t xml:space="preserve"> llamado “</w:t>
      </w:r>
      <w:proofErr w:type="spellStart"/>
      <w:r>
        <w:t>clean</w:t>
      </w:r>
      <w:proofErr w:type="spellEnd"/>
      <w:r>
        <w:t xml:space="preserve"> </w:t>
      </w:r>
      <w:proofErr w:type="spellStart"/>
      <w:r>
        <w:t>energy</w:t>
      </w:r>
      <w:proofErr w:type="spellEnd"/>
      <w:r>
        <w:t xml:space="preserve"> </w:t>
      </w:r>
      <w:proofErr w:type="spellStart"/>
      <w:r>
        <w:t>standard</w:t>
      </w:r>
      <w:proofErr w:type="spellEnd"/>
      <w:r>
        <w:t>” que impondría mínimos de energía baja o exenta de emisiones (el gas natural estaría incluido en el estándar) para el suministro a clientes. Esta incoativa, que será complejo se concrete antes de 2013</w:t>
      </w:r>
      <w:r w:rsidR="00B677F1">
        <w:t>,</w:t>
      </w:r>
      <w:r>
        <w:t xml:space="preserve"> podría ser un espaldarazo hacia un cambio de mix hacia tecnologías más limpias. Esto, que es plenamente consistente con las iniciativas regulatorias de la EPA (agencia federal de protección del medio ambiente) tendentes a endurecer los requisitos de emisiones del parque térmico, podría impulsar a medio plazo las inversiones en nuevo</w:t>
      </w:r>
      <w:r w:rsidR="004D1E88">
        <w:t>s</w:t>
      </w:r>
      <w:r>
        <w:t xml:space="preserve"> equipo</w:t>
      </w:r>
      <w:r w:rsidR="004D1E88">
        <w:t>s</w:t>
      </w:r>
      <w:r>
        <w:t xml:space="preserve"> de gas. Los efectos más positivos sobre la</w:t>
      </w:r>
      <w:r w:rsidR="00B677F1">
        <w:t>s</w:t>
      </w:r>
      <w:r>
        <w:t xml:space="preserve"> renovable</w:t>
      </w:r>
      <w:r w:rsidR="00B677F1">
        <w:t>s</w:t>
      </w:r>
      <w:r>
        <w:t xml:space="preserve"> vendrían de la mano de una recuperación de los precios del gas.</w:t>
      </w:r>
    </w:p>
    <w:p w:rsidR="000322F5" w:rsidRPr="000C2356" w:rsidRDefault="000322F5" w:rsidP="003429D5">
      <w:pPr>
        <w:pStyle w:val="Ttulo2"/>
      </w:pPr>
      <w:r>
        <w:t>Otras cuestiones de interés</w:t>
      </w:r>
    </w:p>
    <w:p w:rsidR="000322F5" w:rsidRDefault="000322F5" w:rsidP="003429D5">
      <w:pPr>
        <w:pStyle w:val="Ttulo3"/>
        <w:rPr>
          <w:lang w:val="es-ES_tradnl"/>
        </w:rPr>
      </w:pPr>
      <w:r>
        <w:rPr>
          <w:lang w:val="es-ES_tradnl"/>
        </w:rPr>
        <w:t>Europa – Energías Renovables, emisiones, eficiencia y otros temas de medio ambiente</w:t>
      </w:r>
    </w:p>
    <w:p w:rsidR="00E05893" w:rsidRDefault="00CA5D0E" w:rsidP="00E05893">
      <w:pPr>
        <w:numPr>
          <w:ilvl w:val="0"/>
          <w:numId w:val="2"/>
        </w:numPr>
        <w:spacing w:before="100" w:beforeAutospacing="1" w:line="276" w:lineRule="auto"/>
      </w:pPr>
      <w:r>
        <w:rPr>
          <w:b/>
          <w:szCs w:val="24"/>
          <w:lang w:val="es-ES_tradnl"/>
        </w:rPr>
        <w:t xml:space="preserve">Se celebra la primera </w:t>
      </w:r>
      <w:r w:rsidRPr="004F647F">
        <w:rPr>
          <w:b/>
          <w:szCs w:val="24"/>
          <w:lang w:val="es-ES_tradnl"/>
        </w:rPr>
        <w:t xml:space="preserve">subasta de renovables en Portugal </w:t>
      </w:r>
      <w:r>
        <w:rPr>
          <w:b/>
          <w:szCs w:val="24"/>
          <w:lang w:val="es-ES_tradnl"/>
        </w:rPr>
        <w:t>en 2012:</w:t>
      </w:r>
      <w:r w:rsidR="00E05893" w:rsidRPr="00E05893">
        <w:rPr>
          <w:b/>
          <w:lang w:val="es-ES_tradnl"/>
        </w:rPr>
        <w:t xml:space="preserve"> </w:t>
      </w:r>
      <w:r w:rsidRPr="004F647F">
        <w:rPr>
          <w:szCs w:val="24"/>
          <w:lang w:val="es-ES_tradnl"/>
        </w:rPr>
        <w:t>el volumen de contratos ofrecidos en la subasta alcanzó los 1,375</w:t>
      </w:r>
      <w:r w:rsidR="00DF4F41">
        <w:rPr>
          <w:szCs w:val="24"/>
          <w:lang w:val="es-ES_tradnl"/>
        </w:rPr>
        <w:t xml:space="preserve"> </w:t>
      </w:r>
      <w:r w:rsidRPr="004F647F">
        <w:rPr>
          <w:szCs w:val="24"/>
          <w:lang w:val="es-ES_tradnl"/>
        </w:rPr>
        <w:t>TWh, y 11 participantes presentaron un total de 9</w:t>
      </w:r>
      <w:r>
        <w:rPr>
          <w:szCs w:val="24"/>
          <w:lang w:val="es-ES_tradnl"/>
        </w:rPr>
        <w:t>.</w:t>
      </w:r>
      <w:r w:rsidRPr="004F647F">
        <w:rPr>
          <w:szCs w:val="24"/>
          <w:lang w:val="es-ES_tradnl"/>
        </w:rPr>
        <w:t>403,39</w:t>
      </w:r>
      <w:r w:rsidR="00DF4F41">
        <w:rPr>
          <w:szCs w:val="24"/>
          <w:lang w:val="es-ES_tradnl"/>
        </w:rPr>
        <w:t xml:space="preserve"> </w:t>
      </w:r>
      <w:proofErr w:type="spellStart"/>
      <w:r w:rsidRPr="004F647F">
        <w:rPr>
          <w:szCs w:val="24"/>
          <w:lang w:val="es-ES_tradnl"/>
        </w:rPr>
        <w:t>GWh.</w:t>
      </w:r>
      <w:proofErr w:type="spellEnd"/>
      <w:r w:rsidRPr="004F647F">
        <w:rPr>
          <w:szCs w:val="24"/>
          <w:lang w:val="es-ES_tradnl"/>
        </w:rPr>
        <w:t xml:space="preserve"> El precio medio alcanzado en la subasta fue de 53,12</w:t>
      </w:r>
      <w:r w:rsidR="00DF4F41">
        <w:rPr>
          <w:szCs w:val="24"/>
          <w:lang w:val="es-ES_tradnl"/>
        </w:rPr>
        <w:t xml:space="preserve"> </w:t>
      </w:r>
      <w:r w:rsidR="00B677F1">
        <w:rPr>
          <w:szCs w:val="24"/>
          <w:lang w:val="es-ES_tradnl"/>
        </w:rPr>
        <w:t>€</w:t>
      </w:r>
      <w:r w:rsidRPr="004F647F">
        <w:rPr>
          <w:szCs w:val="24"/>
          <w:lang w:val="es-ES_tradnl"/>
        </w:rPr>
        <w:t>/</w:t>
      </w:r>
      <w:proofErr w:type="spellStart"/>
      <w:r w:rsidRPr="004F647F">
        <w:rPr>
          <w:szCs w:val="24"/>
          <w:lang w:val="es-ES_tradnl"/>
        </w:rPr>
        <w:t>MWh.</w:t>
      </w:r>
      <w:proofErr w:type="spellEnd"/>
      <w:r w:rsidRPr="004F647F">
        <w:rPr>
          <w:szCs w:val="24"/>
          <w:lang w:val="es-ES_tradnl"/>
        </w:rPr>
        <w:t xml:space="preserve"> El </w:t>
      </w:r>
      <w:r w:rsidRPr="005513FF">
        <w:rPr>
          <w:szCs w:val="24"/>
          <w:lang w:val="es-ES_tradnl"/>
        </w:rPr>
        <w:t>regulador espera que esta subasta de paso a nuevos entrantes. (RER 09.01)</w:t>
      </w:r>
    </w:p>
    <w:p w:rsidR="00CA5D0E" w:rsidRPr="00CA5D0E" w:rsidRDefault="00CA5D0E" w:rsidP="00E05893">
      <w:pPr>
        <w:numPr>
          <w:ilvl w:val="0"/>
          <w:numId w:val="2"/>
        </w:numPr>
        <w:spacing w:before="100" w:beforeAutospacing="1" w:line="276" w:lineRule="auto"/>
      </w:pPr>
      <w:r w:rsidRPr="00CA5D0E">
        <w:rPr>
          <w:b/>
          <w:szCs w:val="24"/>
          <w:lang w:val="es-ES_tradnl"/>
        </w:rPr>
        <w:t xml:space="preserve">La asociación francesa de productores renovables (SER) presenta un </w:t>
      </w:r>
      <w:hyperlink r:id="rId8" w:history="1">
        <w:r w:rsidRPr="00CA5D0E">
          <w:rPr>
            <w:rStyle w:val="Hipervnculo"/>
            <w:rFonts w:asciiTheme="minorHAnsi" w:hAnsiTheme="minorHAnsi"/>
            <w:b/>
            <w:szCs w:val="24"/>
            <w:lang w:val="es-ES_tradnl"/>
          </w:rPr>
          <w:t>libro blanco</w:t>
        </w:r>
      </w:hyperlink>
      <w:r w:rsidRPr="00CA5D0E">
        <w:rPr>
          <w:b/>
          <w:szCs w:val="24"/>
          <w:lang w:val="es-ES_tradnl"/>
        </w:rPr>
        <w:t xml:space="preserve"> para impulsar la cuota de las renovables en el mercado hasta un 25% en 2020.</w:t>
      </w:r>
      <w:r w:rsidRPr="00CA5D0E">
        <w:rPr>
          <w:szCs w:val="24"/>
          <w:lang w:val="es-ES_tradnl"/>
        </w:rPr>
        <w:t xml:space="preserve"> </w:t>
      </w:r>
      <w:r w:rsidRPr="00E72853">
        <w:rPr>
          <w:szCs w:val="24"/>
          <w:lang w:val="es-ES_tradnl"/>
        </w:rPr>
        <w:t>La SER, que representa a 500 compañías afirma que para 2030 el sector podría tener 55</w:t>
      </w:r>
      <w:r w:rsidR="00DF4F41">
        <w:rPr>
          <w:szCs w:val="24"/>
          <w:lang w:val="es-ES_tradnl"/>
        </w:rPr>
        <w:t xml:space="preserve"> </w:t>
      </w:r>
      <w:r w:rsidRPr="00E72853">
        <w:rPr>
          <w:szCs w:val="24"/>
          <w:lang w:val="es-ES_tradnl"/>
        </w:rPr>
        <w:t xml:space="preserve">GW de eólica, incluyendo offshore.  (EUPD 20.01) Para alcanzar ese objetivo son necesarios cambios regulatorios en el sector </w:t>
      </w:r>
      <w:r>
        <w:rPr>
          <w:szCs w:val="24"/>
          <w:lang w:val="es-ES_tradnl"/>
        </w:rPr>
        <w:t xml:space="preserve">y reformar el procedimiento de </w:t>
      </w:r>
      <w:r w:rsidRPr="00E72853">
        <w:rPr>
          <w:szCs w:val="24"/>
          <w:lang w:val="es-ES_tradnl"/>
        </w:rPr>
        <w:t>conexión a la red. (RER 20.02)</w:t>
      </w:r>
      <w:r w:rsidRPr="00E72853">
        <w:rPr>
          <w:b/>
          <w:szCs w:val="24"/>
          <w:lang w:val="es-ES_tradnl"/>
        </w:rPr>
        <w:t xml:space="preserve"> </w:t>
      </w:r>
    </w:p>
    <w:p w:rsidR="00CA5D0E" w:rsidRPr="00CA5D0E" w:rsidRDefault="00CA5D0E" w:rsidP="00E05893">
      <w:pPr>
        <w:numPr>
          <w:ilvl w:val="0"/>
          <w:numId w:val="2"/>
        </w:numPr>
        <w:spacing w:before="100" w:beforeAutospacing="1" w:line="276" w:lineRule="auto"/>
        <w:rPr>
          <w:b/>
        </w:rPr>
      </w:pPr>
      <w:r w:rsidRPr="00CA5D0E">
        <w:rPr>
          <w:b/>
          <w:szCs w:val="24"/>
          <w:lang w:val="es-ES_tradnl"/>
        </w:rPr>
        <w:t>Ruma</w:t>
      </w:r>
      <w:r w:rsidR="00F75422">
        <w:rPr>
          <w:b/>
          <w:szCs w:val="24"/>
          <w:lang w:val="es-ES_tradnl"/>
        </w:rPr>
        <w:t xml:space="preserve">nía invertirá hasta 3.200 millones de </w:t>
      </w:r>
      <w:r w:rsidR="00B677F1">
        <w:rPr>
          <w:b/>
          <w:szCs w:val="24"/>
          <w:lang w:val="es-ES_tradnl"/>
        </w:rPr>
        <w:t>€</w:t>
      </w:r>
      <w:r w:rsidRPr="00CA5D0E">
        <w:rPr>
          <w:b/>
          <w:szCs w:val="24"/>
          <w:lang w:val="es-ES_tradnl"/>
        </w:rPr>
        <w:t xml:space="preserve"> en incentivos para energías renovables,</w:t>
      </w:r>
      <w:r w:rsidRPr="00CA5D0E">
        <w:rPr>
          <w:szCs w:val="24"/>
          <w:lang w:val="es-ES_tradnl"/>
        </w:rPr>
        <w:t xml:space="preserve"> que dependerán de la nueva capacidad instalada. Los incentivos, concedidos bajo la forma de “certificados verdes” alcanzarán los 300 </w:t>
      </w:r>
      <w:r w:rsidR="00DF4F41">
        <w:rPr>
          <w:szCs w:val="24"/>
          <w:lang w:val="es-ES_tradnl"/>
        </w:rPr>
        <w:t xml:space="preserve">millones de </w:t>
      </w:r>
      <w:r w:rsidR="00B677F1">
        <w:rPr>
          <w:szCs w:val="24"/>
          <w:lang w:val="es-ES_tradnl"/>
        </w:rPr>
        <w:t>€</w:t>
      </w:r>
      <w:r w:rsidRPr="00CA5D0E">
        <w:rPr>
          <w:szCs w:val="24"/>
          <w:lang w:val="es-ES_tradnl"/>
        </w:rPr>
        <w:t>. Rumanía ofrece unos 160</w:t>
      </w:r>
      <w:r w:rsidR="00DF4F41">
        <w:rPr>
          <w:szCs w:val="24"/>
          <w:lang w:val="es-ES_tradnl"/>
        </w:rPr>
        <w:t xml:space="preserve"> </w:t>
      </w:r>
      <w:r w:rsidR="00B677F1">
        <w:rPr>
          <w:szCs w:val="24"/>
          <w:lang w:val="es-ES_tradnl"/>
        </w:rPr>
        <w:t>€</w:t>
      </w:r>
      <w:r w:rsidRPr="00CA5D0E">
        <w:rPr>
          <w:szCs w:val="24"/>
          <w:lang w:val="es-ES_tradnl"/>
        </w:rPr>
        <w:t>/MWh para energía eólica con lo que se espera que en 2017 haya 5</w:t>
      </w:r>
      <w:r w:rsidR="00DF4F41">
        <w:rPr>
          <w:szCs w:val="24"/>
          <w:lang w:val="es-ES_tradnl"/>
        </w:rPr>
        <w:t xml:space="preserve"> </w:t>
      </w:r>
      <w:r w:rsidRPr="00CA5D0E">
        <w:rPr>
          <w:szCs w:val="24"/>
          <w:lang w:val="es-ES_tradnl"/>
        </w:rPr>
        <w:t>GW de eólica instalados (de los actuale</w:t>
      </w:r>
      <w:r>
        <w:rPr>
          <w:szCs w:val="24"/>
          <w:lang w:val="es-ES_tradnl"/>
        </w:rPr>
        <w:t>s 982</w:t>
      </w:r>
      <w:r w:rsidR="00DF4F41">
        <w:rPr>
          <w:szCs w:val="24"/>
          <w:lang w:val="es-ES_tradnl"/>
        </w:rPr>
        <w:t xml:space="preserve"> </w:t>
      </w:r>
      <w:r>
        <w:rPr>
          <w:szCs w:val="24"/>
          <w:lang w:val="es-ES_tradnl"/>
        </w:rPr>
        <w:t>MW).  (</w:t>
      </w:r>
      <w:proofErr w:type="spellStart"/>
      <w:r>
        <w:rPr>
          <w:szCs w:val="24"/>
          <w:lang w:val="es-ES_tradnl"/>
        </w:rPr>
        <w:t>Clean</w:t>
      </w:r>
      <w:proofErr w:type="spellEnd"/>
      <w:r>
        <w:rPr>
          <w:szCs w:val="24"/>
          <w:lang w:val="es-ES_tradnl"/>
        </w:rPr>
        <w:t xml:space="preserve"> </w:t>
      </w:r>
      <w:proofErr w:type="spellStart"/>
      <w:r>
        <w:rPr>
          <w:szCs w:val="24"/>
          <w:lang w:val="es-ES_tradnl"/>
        </w:rPr>
        <w:t>Energy</w:t>
      </w:r>
      <w:proofErr w:type="spellEnd"/>
      <w:r>
        <w:rPr>
          <w:szCs w:val="24"/>
          <w:lang w:val="es-ES_tradnl"/>
        </w:rPr>
        <w:t xml:space="preserve"> 17.01)</w:t>
      </w:r>
    </w:p>
    <w:p w:rsidR="00CA5D0E" w:rsidRPr="00CA5D0E" w:rsidRDefault="00CA5D0E" w:rsidP="00E05893">
      <w:pPr>
        <w:numPr>
          <w:ilvl w:val="0"/>
          <w:numId w:val="2"/>
        </w:numPr>
        <w:spacing w:before="100" w:beforeAutospacing="1" w:line="276" w:lineRule="auto"/>
        <w:rPr>
          <w:b/>
        </w:rPr>
      </w:pPr>
      <w:r w:rsidRPr="00CA5D0E">
        <w:rPr>
          <w:b/>
          <w:szCs w:val="24"/>
          <w:lang w:val="es-ES_tradnl"/>
        </w:rPr>
        <w:t xml:space="preserve">Las empresas checas de energías renovables protestan por la </w:t>
      </w:r>
      <w:r w:rsidRPr="00CA5D0E">
        <w:rPr>
          <w:rFonts w:asciiTheme="minorHAnsi" w:hAnsiTheme="minorHAnsi"/>
          <w:b/>
          <w:szCs w:val="24"/>
          <w:lang w:val="es-ES_tradnl"/>
        </w:rPr>
        <w:t xml:space="preserve">nueva </w:t>
      </w:r>
      <w:hyperlink r:id="rId9" w:history="1">
        <w:r w:rsidRPr="00CA5D0E">
          <w:rPr>
            <w:rStyle w:val="Hipervnculo"/>
            <w:rFonts w:asciiTheme="minorHAnsi" w:hAnsiTheme="minorHAnsi"/>
            <w:b/>
            <w:szCs w:val="24"/>
            <w:lang w:val="es-ES_tradnl"/>
          </w:rPr>
          <w:t>ley de renovables</w:t>
        </w:r>
      </w:hyperlink>
      <w:r w:rsidRPr="00CA5D0E">
        <w:rPr>
          <w:rFonts w:asciiTheme="minorHAnsi" w:hAnsiTheme="minorHAnsi"/>
          <w:b/>
          <w:szCs w:val="24"/>
          <w:lang w:val="es-ES_tradnl"/>
        </w:rPr>
        <w:t>,</w:t>
      </w:r>
      <w:r w:rsidRPr="00CA5D0E">
        <w:rPr>
          <w:b/>
          <w:szCs w:val="24"/>
          <w:lang w:val="es-ES_tradnl"/>
        </w:rPr>
        <w:t xml:space="preserve"> </w:t>
      </w:r>
      <w:r>
        <w:rPr>
          <w:szCs w:val="24"/>
          <w:lang w:val="es-ES_tradnl"/>
        </w:rPr>
        <w:t>que se presentó</w:t>
      </w:r>
      <w:r w:rsidRPr="00094E84">
        <w:rPr>
          <w:szCs w:val="24"/>
          <w:lang w:val="es-ES_tradnl"/>
        </w:rPr>
        <w:t xml:space="preserve"> a </w:t>
      </w:r>
      <w:r w:rsidRPr="003E7AED">
        <w:rPr>
          <w:szCs w:val="24"/>
          <w:lang w:val="es-ES_tradnl"/>
        </w:rPr>
        <w:t>mediados de enero en</w:t>
      </w:r>
      <w:r w:rsidRPr="00094E84">
        <w:rPr>
          <w:szCs w:val="24"/>
          <w:lang w:val="es-ES_tradnl"/>
        </w:rPr>
        <w:t xml:space="preserve"> la cámara alta, al afirmar </w:t>
      </w:r>
      <w:r>
        <w:rPr>
          <w:szCs w:val="24"/>
          <w:lang w:val="es-ES_tradnl"/>
        </w:rPr>
        <w:t xml:space="preserve">que </w:t>
      </w:r>
      <w:r w:rsidRPr="00094E84">
        <w:rPr>
          <w:szCs w:val="24"/>
          <w:lang w:val="es-ES_tradnl"/>
        </w:rPr>
        <w:t>elimina las garantías de apoyo actuales de 15-20 años</w:t>
      </w:r>
      <w:r>
        <w:rPr>
          <w:szCs w:val="24"/>
          <w:lang w:val="es-ES_tradnl"/>
        </w:rPr>
        <w:t>. El regulador considera que se deben modificar los apoyos porque el desarrollo de las renovables está recayendo sobre los consumidores</w:t>
      </w:r>
      <w:r w:rsidRPr="00094E84">
        <w:rPr>
          <w:szCs w:val="24"/>
          <w:lang w:val="es-ES_tradnl"/>
        </w:rPr>
        <w:t xml:space="preserve"> (EUE 13.01).</w:t>
      </w:r>
    </w:p>
    <w:p w:rsidR="00CA5D0E" w:rsidRPr="00CA5D0E" w:rsidRDefault="00CA5D0E" w:rsidP="00E05893">
      <w:pPr>
        <w:numPr>
          <w:ilvl w:val="0"/>
          <w:numId w:val="2"/>
        </w:numPr>
        <w:spacing w:before="100" w:beforeAutospacing="1" w:line="276" w:lineRule="auto"/>
      </w:pPr>
      <w:r w:rsidRPr="00CA5D0E">
        <w:rPr>
          <w:b/>
          <w:szCs w:val="24"/>
          <w:lang w:val="es-ES_tradnl"/>
        </w:rPr>
        <w:t>Suiza comienza este año a probar tecnologías de CCS:</w:t>
      </w:r>
      <w:r w:rsidRPr="00CA5D0E">
        <w:rPr>
          <w:szCs w:val="24"/>
          <w:lang w:val="es-ES_tradnl"/>
        </w:rPr>
        <w:t xml:space="preserve"> </w:t>
      </w:r>
      <w:r w:rsidRPr="002804E7">
        <w:rPr>
          <w:szCs w:val="24"/>
          <w:lang w:val="es-ES_tradnl"/>
        </w:rPr>
        <w:t>Un estudio de la agencia medioambiental Suiza estima una capacidad de almacenaje subterránea de 2,7 millones de toneladas de CO</w:t>
      </w:r>
      <w:r w:rsidRPr="0086630E">
        <w:rPr>
          <w:szCs w:val="24"/>
          <w:vertAlign w:val="subscript"/>
          <w:lang w:val="es-ES_tradnl"/>
        </w:rPr>
        <w:t>2</w:t>
      </w:r>
      <w:r w:rsidRPr="002804E7">
        <w:rPr>
          <w:szCs w:val="24"/>
          <w:lang w:val="es-ES_tradnl"/>
        </w:rPr>
        <w:t>. (EUE 13.01)</w:t>
      </w:r>
    </w:p>
    <w:p w:rsidR="00CA5D0E" w:rsidRPr="00CA5D0E" w:rsidRDefault="00CA5D0E" w:rsidP="00E05893">
      <w:pPr>
        <w:numPr>
          <w:ilvl w:val="0"/>
          <w:numId w:val="2"/>
        </w:numPr>
        <w:spacing w:before="100" w:beforeAutospacing="1" w:line="276" w:lineRule="auto"/>
        <w:rPr>
          <w:b/>
        </w:rPr>
      </w:pPr>
      <w:r w:rsidRPr="00CA5D0E">
        <w:rPr>
          <w:b/>
          <w:szCs w:val="24"/>
          <w:lang w:val="es-ES_tradnl"/>
        </w:rPr>
        <w:lastRenderedPageBreak/>
        <w:t>El gobierno suizo rechaza elaborar un referéndum sobre la cuota del 50% de renovables en 2030,</w:t>
      </w:r>
      <w:r w:rsidRPr="00CA5D0E">
        <w:rPr>
          <w:szCs w:val="24"/>
          <w:lang w:val="es-ES_tradnl"/>
        </w:rPr>
        <w:t xml:space="preserve"> </w:t>
      </w:r>
      <w:r w:rsidRPr="00A92568">
        <w:rPr>
          <w:szCs w:val="24"/>
          <w:lang w:val="es-ES_tradnl"/>
        </w:rPr>
        <w:t>al considerar que el referéndum del pasado verano sobre la  “Estrategia nacional a 2050” ya reflejaba</w:t>
      </w:r>
      <w:r>
        <w:rPr>
          <w:szCs w:val="24"/>
          <w:lang w:val="es-ES_tradnl"/>
        </w:rPr>
        <w:t xml:space="preserve"> las inquietudes de los votantes</w:t>
      </w:r>
      <w:r w:rsidRPr="00A92568">
        <w:rPr>
          <w:szCs w:val="24"/>
          <w:lang w:val="es-ES_tradnl"/>
        </w:rPr>
        <w:t>. (EUE 10.02)</w:t>
      </w:r>
    </w:p>
    <w:p w:rsidR="00CA5D0E" w:rsidRPr="00CA5D0E" w:rsidRDefault="00CA5D0E" w:rsidP="00E05893">
      <w:pPr>
        <w:numPr>
          <w:ilvl w:val="0"/>
          <w:numId w:val="2"/>
        </w:numPr>
        <w:spacing w:before="100" w:beforeAutospacing="1" w:line="276" w:lineRule="auto"/>
      </w:pPr>
      <w:r w:rsidRPr="00CA5D0E">
        <w:rPr>
          <w:b/>
          <w:szCs w:val="24"/>
          <w:lang w:val="es-ES_tradnl"/>
        </w:rPr>
        <w:t xml:space="preserve">El gobierno suizo publica las tarifas de apoyo a las renovables,  </w:t>
      </w:r>
      <w:r w:rsidRPr="00E72853">
        <w:rPr>
          <w:szCs w:val="24"/>
          <w:lang w:val="es-ES_tradnl"/>
        </w:rPr>
        <w:t>que entrarán en vigor el 1 de marzo. El apoyo máximo para la eólica alcanza los 17,43</w:t>
      </w:r>
      <w:r w:rsidR="00DF4F41">
        <w:rPr>
          <w:szCs w:val="24"/>
          <w:lang w:val="es-ES_tradnl"/>
        </w:rPr>
        <w:t xml:space="preserve"> </w:t>
      </w:r>
      <w:r w:rsidRPr="00E72853">
        <w:rPr>
          <w:szCs w:val="24"/>
          <w:lang w:val="es-ES_tradnl"/>
        </w:rPr>
        <w:t>cent</w:t>
      </w:r>
      <w:r w:rsidR="00B677F1">
        <w:rPr>
          <w:szCs w:val="24"/>
          <w:lang w:val="es-ES_tradnl"/>
        </w:rPr>
        <w:t>€</w:t>
      </w:r>
      <w:r w:rsidRPr="00E72853">
        <w:rPr>
          <w:szCs w:val="24"/>
          <w:lang w:val="es-ES_tradnl"/>
        </w:rPr>
        <w:t>/kWh, sujeto a revisión cada 5 años, y el menor los 11,2</w:t>
      </w:r>
      <w:r w:rsidR="00DF4F41">
        <w:rPr>
          <w:szCs w:val="24"/>
          <w:lang w:val="es-ES_tradnl"/>
        </w:rPr>
        <w:t xml:space="preserve"> </w:t>
      </w:r>
      <w:r w:rsidRPr="00E72853">
        <w:rPr>
          <w:szCs w:val="24"/>
          <w:lang w:val="es-ES_tradnl"/>
        </w:rPr>
        <w:t>cent</w:t>
      </w:r>
      <w:r w:rsidR="00B677F1">
        <w:rPr>
          <w:szCs w:val="24"/>
          <w:lang w:val="es-ES_tradnl"/>
        </w:rPr>
        <w:t>€</w:t>
      </w:r>
      <w:r w:rsidRPr="00E72853">
        <w:rPr>
          <w:szCs w:val="24"/>
          <w:lang w:val="es-ES_tradnl"/>
        </w:rPr>
        <w:t>/kWh. Se reduce un 18% el apoyo a la solar FV por la notable reducción de sus costes de inversión y mantenimiento. (PIE 06.02). A</w:t>
      </w:r>
      <w:r>
        <w:rPr>
          <w:szCs w:val="24"/>
          <w:lang w:val="es-ES_tradnl"/>
        </w:rPr>
        <w:t xml:space="preserve">l mismo tiempo, </w:t>
      </w:r>
      <w:r w:rsidRPr="00E72853">
        <w:rPr>
          <w:b/>
          <w:szCs w:val="24"/>
          <w:lang w:val="es-ES_tradnl"/>
        </w:rPr>
        <w:t xml:space="preserve">relaja la protección de sus bosques en favor de la energía eólica y la biomasa. </w:t>
      </w:r>
      <w:r w:rsidRPr="00E72853">
        <w:rPr>
          <w:szCs w:val="24"/>
          <w:lang w:val="es-ES_tradnl"/>
        </w:rPr>
        <w:t>El comité de energía y medioambiente ha aprobado un proyecto de deforestación de los bosques que permite crear zonas especiales para la construcción de parques eólicos y almacenamiento de viruta de madera. (EUE 24.02)</w:t>
      </w:r>
    </w:p>
    <w:p w:rsidR="00CA5D0E" w:rsidRPr="00CA5D0E" w:rsidRDefault="00CA5D0E" w:rsidP="00E05893">
      <w:pPr>
        <w:numPr>
          <w:ilvl w:val="0"/>
          <w:numId w:val="2"/>
        </w:numPr>
        <w:spacing w:before="100" w:beforeAutospacing="1" w:line="276" w:lineRule="auto"/>
      </w:pPr>
      <w:r w:rsidRPr="00CA5D0E">
        <w:rPr>
          <w:b/>
          <w:szCs w:val="24"/>
          <w:lang w:val="es-ES_tradnl"/>
        </w:rPr>
        <w:t xml:space="preserve">El  aumento en el apoyo a las renovables realizado en Austria a finales del año pasado, da sus frutos: </w:t>
      </w:r>
      <w:r w:rsidRPr="00E72853">
        <w:rPr>
          <w:szCs w:val="24"/>
          <w:lang w:val="es-ES_tradnl"/>
        </w:rPr>
        <w:t>el mayor beneficiado de la reforma de determinados cabos sueltos legales y de la financiación de renovables será la eólica, con un 35% sobre la capacidad de 375,8</w:t>
      </w:r>
      <w:r w:rsidR="00DF4F41">
        <w:rPr>
          <w:szCs w:val="24"/>
          <w:lang w:val="es-ES_tradnl"/>
        </w:rPr>
        <w:t xml:space="preserve"> </w:t>
      </w:r>
      <w:r w:rsidRPr="00E72853">
        <w:rPr>
          <w:szCs w:val="24"/>
          <w:lang w:val="es-ES_tradnl"/>
        </w:rPr>
        <w:t xml:space="preserve">MW, ya aprobada o en construcción. (PIE 23.01) Además, </w:t>
      </w:r>
      <w:r w:rsidRPr="00E72853">
        <w:rPr>
          <w:b/>
          <w:szCs w:val="24"/>
          <w:lang w:val="es-ES_tradnl"/>
        </w:rPr>
        <w:t xml:space="preserve">el gobierno austriaco presenta su “catálogo hidráulico”, </w:t>
      </w:r>
      <w:r w:rsidRPr="00E72853">
        <w:rPr>
          <w:szCs w:val="24"/>
          <w:lang w:val="es-ES_tradnl"/>
        </w:rPr>
        <w:t>con el objetivo de desarrollar los recursos hidráulicos del país</w:t>
      </w:r>
      <w:r>
        <w:rPr>
          <w:szCs w:val="24"/>
          <w:lang w:val="es-ES_tradnl"/>
        </w:rPr>
        <w:t>,</w:t>
      </w:r>
      <w:r w:rsidRPr="00E72853">
        <w:rPr>
          <w:szCs w:val="24"/>
          <w:lang w:val="es-ES_tradnl"/>
        </w:rPr>
        <w:t xml:space="preserve"> principalmente los relacionados con la generación de electricidad. Por otra parte, la región austriaca </w:t>
      </w:r>
      <w:proofErr w:type="spellStart"/>
      <w:r w:rsidRPr="00E72853">
        <w:rPr>
          <w:szCs w:val="24"/>
          <w:lang w:val="es-ES_tradnl"/>
        </w:rPr>
        <w:t>Oberösterreich</w:t>
      </w:r>
      <w:proofErr w:type="spellEnd"/>
      <w:r w:rsidRPr="00E72853">
        <w:rPr>
          <w:szCs w:val="24"/>
          <w:lang w:val="es-ES_tradnl"/>
        </w:rPr>
        <w:t>, publica su plan eólico, donde identifica las zonas consideradas aceptables para el desarrollo de esa energía. (PIE 20.02)</w:t>
      </w:r>
    </w:p>
    <w:p w:rsidR="00CA5D0E" w:rsidRPr="00CA5D0E" w:rsidRDefault="00CA5D0E" w:rsidP="00E05893">
      <w:pPr>
        <w:numPr>
          <w:ilvl w:val="0"/>
          <w:numId w:val="2"/>
        </w:numPr>
        <w:spacing w:before="100" w:beforeAutospacing="1" w:line="276" w:lineRule="auto"/>
      </w:pPr>
      <w:r w:rsidRPr="00CA5D0E">
        <w:rPr>
          <w:b/>
          <w:szCs w:val="24"/>
          <w:lang w:val="es-ES_tradnl"/>
        </w:rPr>
        <w:t>El mercado de certificados verdes entre Noruega y Suecia comenzará en 2014-15.</w:t>
      </w:r>
      <w:r w:rsidRPr="00CA5D0E">
        <w:rPr>
          <w:szCs w:val="24"/>
          <w:lang w:val="es-ES_tradnl"/>
        </w:rPr>
        <w:t xml:space="preserve"> </w:t>
      </w:r>
      <w:r>
        <w:rPr>
          <w:szCs w:val="24"/>
          <w:lang w:val="es-ES_tradnl"/>
        </w:rPr>
        <w:t>El objetivo de este comercio conjunto es proporcionar 26,4</w:t>
      </w:r>
      <w:r w:rsidR="00DF4F41">
        <w:rPr>
          <w:szCs w:val="24"/>
          <w:lang w:val="es-ES_tradnl"/>
        </w:rPr>
        <w:t xml:space="preserve"> </w:t>
      </w:r>
      <w:r>
        <w:rPr>
          <w:szCs w:val="24"/>
          <w:lang w:val="es-ES_tradnl"/>
        </w:rPr>
        <w:t>TWh de energía renovable al mercado nórdico para 2020. Suecia cuenta con este mercado de certificados verdes desde 2003. (RER 20.02)</w:t>
      </w:r>
    </w:p>
    <w:p w:rsidR="00E05893" w:rsidRPr="004249E5" w:rsidRDefault="00CA5D0E" w:rsidP="00E05893">
      <w:pPr>
        <w:numPr>
          <w:ilvl w:val="0"/>
          <w:numId w:val="2"/>
        </w:numPr>
        <w:spacing w:before="100" w:beforeAutospacing="1" w:line="276" w:lineRule="auto"/>
      </w:pPr>
      <w:r w:rsidRPr="00C07CB0">
        <w:rPr>
          <w:b/>
          <w:szCs w:val="24"/>
          <w:lang w:val="es-ES_tradnl"/>
        </w:rPr>
        <w:t xml:space="preserve">El gobierno de Letonia estudia la nueva estrategia energética para 2030, </w:t>
      </w:r>
      <w:r w:rsidRPr="00C07CB0">
        <w:rPr>
          <w:szCs w:val="24"/>
          <w:lang w:val="es-ES_tradnl"/>
        </w:rPr>
        <w:t>que</w:t>
      </w:r>
      <w:r w:rsidRPr="00C07CB0">
        <w:rPr>
          <w:b/>
          <w:szCs w:val="24"/>
          <w:lang w:val="es-ES_tradnl"/>
        </w:rPr>
        <w:t xml:space="preserve"> </w:t>
      </w:r>
      <w:r w:rsidRPr="00C07CB0">
        <w:rPr>
          <w:szCs w:val="24"/>
          <w:lang w:val="es-ES_tradnl"/>
        </w:rPr>
        <w:t xml:space="preserve">se espera esté decidida para mayo. </w:t>
      </w:r>
      <w:r>
        <w:rPr>
          <w:szCs w:val="24"/>
          <w:lang w:val="es-ES_tradnl"/>
        </w:rPr>
        <w:t>El escenario más ambicioso propone</w:t>
      </w:r>
      <w:r w:rsidRPr="00C07CB0">
        <w:rPr>
          <w:szCs w:val="24"/>
          <w:lang w:val="es-ES_tradnl"/>
        </w:rPr>
        <w:t xml:space="preserve"> tener en 2030 un 60% de energía procedente de renovables. El coste de esta estrategia alcanzaría los 10.730 millones de </w:t>
      </w:r>
      <w:r w:rsidR="00B677F1">
        <w:rPr>
          <w:szCs w:val="24"/>
          <w:lang w:val="es-ES_tradnl"/>
        </w:rPr>
        <w:t>€</w:t>
      </w:r>
      <w:r w:rsidRPr="00C07CB0">
        <w:rPr>
          <w:szCs w:val="24"/>
          <w:lang w:val="es-ES_tradnl"/>
        </w:rPr>
        <w:t xml:space="preserve">. Letonia quiere eliminar la dependencia </w:t>
      </w:r>
      <w:r>
        <w:rPr>
          <w:szCs w:val="24"/>
          <w:lang w:val="es-ES_tradnl"/>
        </w:rPr>
        <w:t xml:space="preserve">energética de </w:t>
      </w:r>
      <w:r w:rsidRPr="00C07CB0">
        <w:rPr>
          <w:szCs w:val="24"/>
          <w:lang w:val="es-ES_tradnl"/>
        </w:rPr>
        <w:t>Rus</w:t>
      </w:r>
      <w:r>
        <w:rPr>
          <w:szCs w:val="24"/>
          <w:lang w:val="es-ES_tradnl"/>
        </w:rPr>
        <w:t>ia</w:t>
      </w:r>
      <w:r w:rsidRPr="00C07CB0">
        <w:rPr>
          <w:szCs w:val="24"/>
          <w:lang w:val="es-ES_tradnl"/>
        </w:rPr>
        <w:t>. (EUE 24.02)</w:t>
      </w:r>
    </w:p>
    <w:p w:rsidR="004249E5" w:rsidRPr="004249E5" w:rsidRDefault="000322F5" w:rsidP="004249E5">
      <w:pPr>
        <w:pStyle w:val="Ttulo3"/>
        <w:rPr>
          <w:lang w:val="es-ES_tradnl"/>
        </w:rPr>
      </w:pPr>
      <w:r>
        <w:rPr>
          <w:lang w:val="es-ES_tradnl"/>
        </w:rPr>
        <w:t>Europa – Regulación y legislación</w:t>
      </w:r>
    </w:p>
    <w:p w:rsidR="006B5DAA" w:rsidRPr="006B5DAA" w:rsidRDefault="006B5DAA" w:rsidP="00E67527">
      <w:pPr>
        <w:numPr>
          <w:ilvl w:val="0"/>
          <w:numId w:val="2"/>
        </w:numPr>
        <w:spacing w:before="100" w:beforeAutospacing="1" w:line="276" w:lineRule="auto"/>
      </w:pPr>
      <w:r w:rsidRPr="006B5DAA">
        <w:rPr>
          <w:b/>
          <w:szCs w:val="24"/>
        </w:rPr>
        <w:t>Italia acelera la liberalización de la economía mediante un decreto ley</w:t>
      </w:r>
      <w:r w:rsidRPr="006B5DAA">
        <w:rPr>
          <w:szCs w:val="24"/>
        </w:rPr>
        <w:t xml:space="preserve">, </w:t>
      </w:r>
      <w:r w:rsidRPr="004113D1">
        <w:rPr>
          <w:szCs w:val="24"/>
        </w:rPr>
        <w:t xml:space="preserve">que afectará además de a los mercados de gas y electricidad, al transporte, banca y comunicaciones. (EUPD 11.01). Además, </w:t>
      </w:r>
      <w:r w:rsidRPr="004113D1">
        <w:rPr>
          <w:b/>
          <w:szCs w:val="24"/>
        </w:rPr>
        <w:t>e</w:t>
      </w:r>
      <w:r w:rsidRPr="004113D1">
        <w:rPr>
          <w:b/>
          <w:szCs w:val="24"/>
          <w:lang w:val="es-ES_tradnl"/>
        </w:rPr>
        <w:t xml:space="preserve">l gobierno italiano prepara su plan nacional de energía, </w:t>
      </w:r>
      <w:r w:rsidRPr="004113D1">
        <w:rPr>
          <w:szCs w:val="24"/>
          <w:lang w:val="es-ES_tradnl"/>
        </w:rPr>
        <w:t xml:space="preserve">el cual tiene como objetivo el convertir a Italia en un </w:t>
      </w:r>
      <w:proofErr w:type="spellStart"/>
      <w:r w:rsidRPr="004113D1">
        <w:rPr>
          <w:i/>
          <w:szCs w:val="24"/>
          <w:lang w:val="es-ES_tradnl"/>
        </w:rPr>
        <w:t>hub</w:t>
      </w:r>
      <w:proofErr w:type="spellEnd"/>
      <w:r w:rsidRPr="004113D1">
        <w:rPr>
          <w:szCs w:val="24"/>
          <w:lang w:val="es-ES_tradnl"/>
        </w:rPr>
        <w:t xml:space="preserve"> europeo de gas. En el tema de renovables, quiere facilitar las medidas necesarias para que cumplir los objetivos europeos, así como promover tecnología y producción italianas. (EUPD 26.01)</w:t>
      </w:r>
    </w:p>
    <w:p w:rsidR="006B5DAA" w:rsidRPr="006B5DAA" w:rsidRDefault="006B5DAA" w:rsidP="003429D5">
      <w:pPr>
        <w:numPr>
          <w:ilvl w:val="0"/>
          <w:numId w:val="2"/>
        </w:numPr>
        <w:spacing w:before="100" w:beforeAutospacing="1" w:line="276" w:lineRule="auto"/>
        <w:rPr>
          <w:lang w:val="es-ES_tradnl"/>
        </w:rPr>
      </w:pPr>
      <w:r w:rsidRPr="006B5DAA">
        <w:rPr>
          <w:b/>
          <w:szCs w:val="24"/>
          <w:lang w:val="es-ES_tradnl"/>
        </w:rPr>
        <w:t>Polonia anuncia cambios en las leyes de gas y de renovables.</w:t>
      </w:r>
      <w:r w:rsidRPr="006B5DAA">
        <w:rPr>
          <w:szCs w:val="24"/>
          <w:lang w:val="es-ES_tradnl"/>
        </w:rPr>
        <w:t xml:space="preserve"> </w:t>
      </w:r>
      <w:r w:rsidRPr="00B13E97">
        <w:rPr>
          <w:szCs w:val="24"/>
          <w:lang w:val="es-ES_tradnl"/>
        </w:rPr>
        <w:t xml:space="preserve">La nueva normativa de gas está destinada a proteger a los consumidores ante la próxima liberalización del sector. La ley de renovables contempla la reducción del apoyo a la hidráulica, eólica y </w:t>
      </w:r>
      <w:proofErr w:type="spellStart"/>
      <w:r w:rsidRPr="00B13E97">
        <w:rPr>
          <w:szCs w:val="24"/>
          <w:lang w:val="es-ES_tradnl"/>
        </w:rPr>
        <w:t>co</w:t>
      </w:r>
      <w:proofErr w:type="spellEnd"/>
      <w:r w:rsidRPr="00B13E97">
        <w:rPr>
          <w:szCs w:val="24"/>
          <w:lang w:val="es-ES_tradnl"/>
        </w:rPr>
        <w:t xml:space="preserve">-combustión con biomasa con carácter posiblemente retroactivo. Se espera que la de gas se apruebe definitivamente antes de fin de 2012. (EUE 13.01). </w:t>
      </w:r>
      <w:r w:rsidRPr="00B13E97">
        <w:rPr>
          <w:b/>
          <w:szCs w:val="24"/>
          <w:lang w:val="es-ES_tradnl"/>
        </w:rPr>
        <w:t xml:space="preserve">La Coalición del Clima Polaco, en contra del borrador de la ley de energías renovables, </w:t>
      </w:r>
      <w:r w:rsidRPr="00B13E97">
        <w:rPr>
          <w:szCs w:val="24"/>
          <w:lang w:val="es-ES_tradnl"/>
        </w:rPr>
        <w:t xml:space="preserve">al afirmar que no se garantiza el acceso a la red a las renovables, no da suficientes apoyos a la micro generación, no especifica claramente los criterios de adquisición obligatoria, así como tampoco especifica el precio de la energía producida con renovables. El </w:t>
      </w:r>
      <w:r w:rsidRPr="00B13E97">
        <w:rPr>
          <w:szCs w:val="24"/>
          <w:lang w:val="es-ES_tradnl"/>
        </w:rPr>
        <w:lastRenderedPageBreak/>
        <w:t>Ministro de Economía revisará la ley antes de enviarla al Parlamento para su aprobación (EUPD 07.02), aunque previsiblemente su aprobación se retrasará  hasta 2013 (EUPD 28.02)</w:t>
      </w:r>
      <w:r>
        <w:rPr>
          <w:szCs w:val="24"/>
          <w:lang w:val="es-ES_tradnl"/>
        </w:rPr>
        <w:t>.</w:t>
      </w:r>
    </w:p>
    <w:p w:rsidR="006B5DAA" w:rsidRPr="006B5DAA" w:rsidRDefault="006B5DAA" w:rsidP="006B5DAA">
      <w:pPr>
        <w:numPr>
          <w:ilvl w:val="0"/>
          <w:numId w:val="2"/>
        </w:numPr>
        <w:spacing w:before="100" w:beforeAutospacing="1" w:line="276" w:lineRule="auto"/>
        <w:rPr>
          <w:szCs w:val="24"/>
        </w:rPr>
      </w:pPr>
      <w:r w:rsidRPr="006B5DAA">
        <w:rPr>
          <w:b/>
          <w:szCs w:val="24"/>
        </w:rPr>
        <w:t>Grecia aprueba las medidas de reforma del mercado energético,</w:t>
      </w:r>
      <w:r w:rsidRPr="006B5DAA">
        <w:rPr>
          <w:szCs w:val="24"/>
        </w:rPr>
        <w:t xml:space="preserve"> que incluyen entre otras, la separación de actividades y la privatización de empresas. Se espera que la separación de las actividades de redes sea efectiva a finales de febrero y que el proceso de privatización de la eléctrica PPC y </w:t>
      </w:r>
      <w:proofErr w:type="gramStart"/>
      <w:r w:rsidRPr="006B5DAA">
        <w:rPr>
          <w:szCs w:val="24"/>
        </w:rPr>
        <w:t>la</w:t>
      </w:r>
      <w:proofErr w:type="gramEnd"/>
      <w:r w:rsidRPr="006B5DAA">
        <w:rPr>
          <w:szCs w:val="24"/>
        </w:rPr>
        <w:t xml:space="preserve"> gasista DENA se produzca en marzo. Para finales de 2012 deberá ser efectivo el acceso a la generación con lignito a los competidores. (EUPD 14.02)</w:t>
      </w:r>
    </w:p>
    <w:p w:rsidR="006B5DAA" w:rsidRPr="006B5DAA" w:rsidRDefault="006B5DAA" w:rsidP="006B5DAA">
      <w:pPr>
        <w:numPr>
          <w:ilvl w:val="0"/>
          <w:numId w:val="2"/>
        </w:numPr>
        <w:spacing w:before="100" w:beforeAutospacing="1" w:line="276" w:lineRule="auto"/>
        <w:rPr>
          <w:szCs w:val="24"/>
        </w:rPr>
      </w:pPr>
      <w:r w:rsidRPr="006B5DAA">
        <w:rPr>
          <w:b/>
          <w:szCs w:val="24"/>
        </w:rPr>
        <w:t>La nueva ley de electricidad de Lituania entra en vigor el 7 de febrero:</w:t>
      </w:r>
      <w:r w:rsidRPr="006B5DAA">
        <w:rPr>
          <w:szCs w:val="24"/>
        </w:rPr>
        <w:t xml:space="preserve"> esta norma, que traspone la directiva europea pretende aumentar la competitividad del mercado eléctrico y asegurar que el operador de distribución permanece independiente y separado de otras compañías del sector. Concede al regulador el poder para determinar el margen de beneficios de las empresas del sector y su ROI entre otros. (</w:t>
      </w:r>
      <w:proofErr w:type="spellStart"/>
      <w:r w:rsidRPr="006B5DAA">
        <w:rPr>
          <w:szCs w:val="24"/>
        </w:rPr>
        <w:t>Energo</w:t>
      </w:r>
      <w:proofErr w:type="spellEnd"/>
      <w:r w:rsidRPr="006B5DAA">
        <w:rPr>
          <w:szCs w:val="24"/>
        </w:rPr>
        <w:t xml:space="preserve"> </w:t>
      </w:r>
      <w:proofErr w:type="spellStart"/>
      <w:r w:rsidRPr="006B5DAA">
        <w:rPr>
          <w:szCs w:val="24"/>
        </w:rPr>
        <w:t>week</w:t>
      </w:r>
      <w:proofErr w:type="spellEnd"/>
      <w:r w:rsidRPr="006B5DAA">
        <w:rPr>
          <w:szCs w:val="24"/>
        </w:rPr>
        <w:t xml:space="preserve"> 15.02)</w:t>
      </w:r>
    </w:p>
    <w:p w:rsidR="000322F5" w:rsidRPr="006B5DAA" w:rsidRDefault="000322F5" w:rsidP="006B5DAA">
      <w:pPr>
        <w:pStyle w:val="Ttulo3"/>
        <w:rPr>
          <w:lang w:val="es-ES_tradnl"/>
        </w:rPr>
      </w:pPr>
      <w:r w:rsidRPr="006B5DAA">
        <w:rPr>
          <w:lang w:val="es-ES_tradnl"/>
        </w:rPr>
        <w:t xml:space="preserve">Europa – </w:t>
      </w:r>
      <w:r w:rsidR="006B5DAA">
        <w:rPr>
          <w:lang w:val="es-ES_tradnl"/>
        </w:rPr>
        <w:t>Empresas, m</w:t>
      </w:r>
      <w:r w:rsidRPr="006B5DAA">
        <w:rPr>
          <w:lang w:val="es-ES_tradnl"/>
        </w:rPr>
        <w:t>ercados</w:t>
      </w:r>
      <w:r w:rsidR="006B5DAA">
        <w:rPr>
          <w:lang w:val="es-ES_tradnl"/>
        </w:rPr>
        <w:t xml:space="preserve"> y garantía de suministro</w:t>
      </w:r>
    </w:p>
    <w:p w:rsidR="006B5DAA" w:rsidRPr="006B5DAA" w:rsidRDefault="006B5DAA" w:rsidP="00E67527">
      <w:pPr>
        <w:numPr>
          <w:ilvl w:val="0"/>
          <w:numId w:val="2"/>
        </w:numPr>
        <w:spacing w:before="100" w:beforeAutospacing="1" w:line="276" w:lineRule="auto"/>
      </w:pPr>
      <w:r w:rsidRPr="006B5DAA">
        <w:rPr>
          <w:b/>
          <w:szCs w:val="24"/>
          <w:lang w:val="es-ES_tradnl"/>
        </w:rPr>
        <w:t xml:space="preserve">La empresa alemana RWE invertirá 5.000 </w:t>
      </w:r>
      <w:r w:rsidR="00DF4F41">
        <w:rPr>
          <w:b/>
          <w:szCs w:val="24"/>
          <w:lang w:val="es-ES_tradnl"/>
        </w:rPr>
        <w:t xml:space="preserve">millones de </w:t>
      </w:r>
      <w:r w:rsidR="00B677F1">
        <w:rPr>
          <w:b/>
          <w:szCs w:val="24"/>
          <w:lang w:val="es-ES_tradnl"/>
        </w:rPr>
        <w:t>€</w:t>
      </w:r>
      <w:r w:rsidRPr="006B5DAA">
        <w:rPr>
          <w:b/>
          <w:szCs w:val="24"/>
          <w:lang w:val="es-ES_tradnl"/>
        </w:rPr>
        <w:t xml:space="preserve"> en renovables los próximos 4 años,</w:t>
      </w:r>
      <w:r w:rsidRPr="006B5DAA">
        <w:rPr>
          <w:szCs w:val="24"/>
          <w:lang w:val="es-ES_tradnl"/>
        </w:rPr>
        <w:t xml:space="preserve"> </w:t>
      </w:r>
      <w:r w:rsidRPr="008A0FC5">
        <w:rPr>
          <w:szCs w:val="24"/>
          <w:lang w:val="es-ES_tradnl"/>
        </w:rPr>
        <w:t>por lo que aumentará su capacidad instalada de renovables de 2,5</w:t>
      </w:r>
      <w:r w:rsidR="00DF4F41">
        <w:rPr>
          <w:szCs w:val="24"/>
          <w:lang w:val="es-ES_tradnl"/>
        </w:rPr>
        <w:t xml:space="preserve"> </w:t>
      </w:r>
      <w:r w:rsidRPr="008A0FC5">
        <w:rPr>
          <w:szCs w:val="24"/>
          <w:lang w:val="es-ES_tradnl"/>
        </w:rPr>
        <w:t>GW a 4,5</w:t>
      </w:r>
      <w:r w:rsidR="00DF4F41">
        <w:rPr>
          <w:szCs w:val="24"/>
          <w:lang w:val="es-ES_tradnl"/>
        </w:rPr>
        <w:t xml:space="preserve"> </w:t>
      </w:r>
      <w:r w:rsidRPr="008A0FC5">
        <w:rPr>
          <w:szCs w:val="24"/>
          <w:lang w:val="es-ES_tradnl"/>
        </w:rPr>
        <w:t xml:space="preserve">GW. El 70% serán proyectos eólicos, incluidos offshore. El problema según </w:t>
      </w:r>
      <w:proofErr w:type="spellStart"/>
      <w:r w:rsidRPr="008A0FC5">
        <w:rPr>
          <w:szCs w:val="24"/>
          <w:lang w:val="es-ES_tradnl"/>
        </w:rPr>
        <w:t>Tennet</w:t>
      </w:r>
      <w:proofErr w:type="spellEnd"/>
      <w:r w:rsidRPr="008A0FC5">
        <w:rPr>
          <w:szCs w:val="24"/>
          <w:lang w:val="es-ES_tradnl"/>
        </w:rPr>
        <w:t xml:space="preserve">, será la conexión a la red. (EUPD 11.01). </w:t>
      </w:r>
      <w:r w:rsidRPr="008A0FC5">
        <w:rPr>
          <w:b/>
          <w:szCs w:val="24"/>
          <w:lang w:val="es-ES_tradnl"/>
        </w:rPr>
        <w:t>RWE  junto con Siemens extenderán su proyecto de “centrales energéticas virtuales” a 200</w:t>
      </w:r>
      <w:r w:rsidR="00F75422">
        <w:rPr>
          <w:b/>
          <w:szCs w:val="24"/>
          <w:lang w:val="es-ES_tradnl"/>
        </w:rPr>
        <w:t xml:space="preserve"> </w:t>
      </w:r>
      <w:r w:rsidRPr="008A0FC5">
        <w:rPr>
          <w:b/>
          <w:szCs w:val="24"/>
          <w:lang w:val="es-ES_tradnl"/>
        </w:rPr>
        <w:t xml:space="preserve">MW </w:t>
      </w:r>
      <w:r w:rsidRPr="008A0FC5">
        <w:rPr>
          <w:szCs w:val="24"/>
          <w:lang w:val="es-ES_tradnl"/>
        </w:rPr>
        <w:t xml:space="preserve">para 2015, para vender su energía en la EEX </w:t>
      </w:r>
      <w:proofErr w:type="spellStart"/>
      <w:r w:rsidRPr="008A0FC5">
        <w:rPr>
          <w:szCs w:val="24"/>
          <w:lang w:val="es-ES_tradnl"/>
        </w:rPr>
        <w:t>Power</w:t>
      </w:r>
      <w:proofErr w:type="spellEnd"/>
      <w:r w:rsidRPr="008A0FC5">
        <w:rPr>
          <w:szCs w:val="24"/>
          <w:lang w:val="es-ES_tradnl"/>
        </w:rPr>
        <w:t xml:space="preserve"> Exchange: este es el primer proyecto de venta unificada de energía distribuida como biomasa, biogás, eólica y mini hidráulica. (EUPD 13.02)</w:t>
      </w:r>
    </w:p>
    <w:p w:rsidR="006B5DAA" w:rsidRPr="006B5DAA" w:rsidRDefault="006B5DAA" w:rsidP="004249E5">
      <w:pPr>
        <w:numPr>
          <w:ilvl w:val="0"/>
          <w:numId w:val="2"/>
        </w:numPr>
        <w:spacing w:before="100" w:beforeAutospacing="1" w:line="276" w:lineRule="auto"/>
        <w:rPr>
          <w:lang w:val="es-ES_tradnl"/>
        </w:rPr>
      </w:pPr>
      <w:r w:rsidRPr="006B5DAA">
        <w:rPr>
          <w:b/>
          <w:szCs w:val="24"/>
          <w:lang w:val="es-ES_tradnl"/>
        </w:rPr>
        <w:t>Según la industria polaca, el aumento de la energía eólica en el mercado tendrá consecuencias sobre el precio del mercado diario.</w:t>
      </w:r>
      <w:r w:rsidRPr="006B5DAA">
        <w:rPr>
          <w:szCs w:val="24"/>
          <w:lang w:val="es-ES_tradnl"/>
        </w:rPr>
        <w:t xml:space="preserve"> </w:t>
      </w:r>
      <w:r w:rsidRPr="00FA1302">
        <w:rPr>
          <w:szCs w:val="24"/>
          <w:lang w:val="es-ES_tradnl"/>
        </w:rPr>
        <w:t>Actualmente esos precios dependen de la climatología, las exportaciones y la disponibilidad de las plantas convencionales</w:t>
      </w:r>
      <w:r>
        <w:rPr>
          <w:szCs w:val="24"/>
          <w:lang w:val="es-ES_tradnl"/>
        </w:rPr>
        <w:t xml:space="preserve"> (el 95% de la generación es de</w:t>
      </w:r>
      <w:r w:rsidRPr="00FA1302">
        <w:rPr>
          <w:szCs w:val="24"/>
          <w:lang w:val="es-ES_tradnl"/>
        </w:rPr>
        <w:t xml:space="preserve"> carbón) con lo que la exposición a fuentes intermitentes </w:t>
      </w:r>
      <w:r>
        <w:rPr>
          <w:szCs w:val="24"/>
          <w:lang w:val="es-ES_tradnl"/>
        </w:rPr>
        <w:t>se espera que tenga</w:t>
      </w:r>
      <w:r w:rsidRPr="00FA1302">
        <w:rPr>
          <w:szCs w:val="24"/>
          <w:lang w:val="es-ES_tradnl"/>
        </w:rPr>
        <w:t xml:space="preserve"> un efecto significativo sobre los precios. </w:t>
      </w:r>
      <w:r>
        <w:rPr>
          <w:szCs w:val="24"/>
          <w:lang w:val="es-ES_tradnl"/>
        </w:rPr>
        <w:t>L</w:t>
      </w:r>
      <w:r w:rsidRPr="00FA1302">
        <w:rPr>
          <w:szCs w:val="24"/>
        </w:rPr>
        <w:t xml:space="preserve">a capacidad actual </w:t>
      </w:r>
      <w:r>
        <w:rPr>
          <w:szCs w:val="24"/>
        </w:rPr>
        <w:t xml:space="preserve">de eólica </w:t>
      </w:r>
      <w:r w:rsidRPr="00FA1302">
        <w:rPr>
          <w:szCs w:val="24"/>
        </w:rPr>
        <w:t>asciende a 1,5</w:t>
      </w:r>
      <w:r w:rsidR="00DF4F41">
        <w:rPr>
          <w:szCs w:val="24"/>
        </w:rPr>
        <w:t xml:space="preserve"> </w:t>
      </w:r>
      <w:r w:rsidRPr="00FA1302">
        <w:rPr>
          <w:szCs w:val="24"/>
        </w:rPr>
        <w:t>GW (EUPD 17.01)</w:t>
      </w:r>
      <w:r>
        <w:rPr>
          <w:szCs w:val="24"/>
        </w:rPr>
        <w:t xml:space="preserve"> </w:t>
      </w:r>
      <w:r w:rsidRPr="00FA1302">
        <w:rPr>
          <w:szCs w:val="24"/>
          <w:lang w:val="es-ES_tradnl"/>
        </w:rPr>
        <w:t>(EUE 27.01)</w:t>
      </w:r>
    </w:p>
    <w:p w:rsidR="006B5DAA" w:rsidRPr="006B5DAA" w:rsidRDefault="006B5DAA" w:rsidP="006B5DAA">
      <w:pPr>
        <w:numPr>
          <w:ilvl w:val="0"/>
          <w:numId w:val="2"/>
        </w:numPr>
        <w:spacing w:before="100" w:beforeAutospacing="1" w:line="276" w:lineRule="auto"/>
        <w:rPr>
          <w:szCs w:val="24"/>
          <w:lang w:val="es-ES_tradnl"/>
        </w:rPr>
      </w:pPr>
      <w:r w:rsidRPr="006B5DAA">
        <w:rPr>
          <w:b/>
          <w:szCs w:val="24"/>
          <w:lang w:val="es-ES_tradnl"/>
        </w:rPr>
        <w:t>Polonia completará la privatización de ENEA a finales de 2012:</w:t>
      </w:r>
      <w:r w:rsidRPr="006B5DAA">
        <w:rPr>
          <w:szCs w:val="24"/>
          <w:lang w:val="es-ES_tradnl"/>
        </w:rPr>
        <w:t xml:space="preserve"> El gobierno quiere vender el 51% de su participación en la empresa tras las conversaciones con EDF. Enea suministra electricidad a 2,3 </w:t>
      </w:r>
      <w:r w:rsidR="00DF4F41">
        <w:rPr>
          <w:szCs w:val="24"/>
          <w:lang w:val="es-ES_tradnl"/>
        </w:rPr>
        <w:t>m</w:t>
      </w:r>
      <w:r w:rsidRPr="006B5DAA">
        <w:rPr>
          <w:szCs w:val="24"/>
          <w:lang w:val="es-ES_tradnl"/>
        </w:rPr>
        <w:t xml:space="preserve">illones de clientes en el oeste y noroeste de Polonia. El Tesoro quería venderla a la empresa polaca </w:t>
      </w:r>
      <w:proofErr w:type="spellStart"/>
      <w:r w:rsidRPr="006B5DAA">
        <w:rPr>
          <w:szCs w:val="24"/>
          <w:lang w:val="es-ES_tradnl"/>
        </w:rPr>
        <w:t>Polska</w:t>
      </w:r>
      <w:proofErr w:type="spellEnd"/>
      <w:r w:rsidRPr="006B5DAA">
        <w:rPr>
          <w:szCs w:val="24"/>
          <w:lang w:val="es-ES_tradnl"/>
        </w:rPr>
        <w:t xml:space="preserve"> Grupa </w:t>
      </w:r>
      <w:proofErr w:type="spellStart"/>
      <w:r w:rsidRPr="006B5DAA">
        <w:rPr>
          <w:szCs w:val="24"/>
          <w:lang w:val="es-ES_tradnl"/>
        </w:rPr>
        <w:t>Energetyczna</w:t>
      </w:r>
      <w:proofErr w:type="spellEnd"/>
      <w:r w:rsidRPr="006B5DAA">
        <w:rPr>
          <w:szCs w:val="24"/>
          <w:lang w:val="es-ES_tradnl"/>
        </w:rPr>
        <w:t xml:space="preserve"> (PGE), pero las autoridades de competencia lo han impedido ya que PGE aumentaría su cuota de mercado minorista del 26% al 40%. (EUPD 23.01)</w:t>
      </w:r>
    </w:p>
    <w:p w:rsidR="006B5DAA" w:rsidRPr="006B5DAA" w:rsidRDefault="006B5DAA" w:rsidP="006B5DAA">
      <w:pPr>
        <w:numPr>
          <w:ilvl w:val="0"/>
          <w:numId w:val="2"/>
        </w:numPr>
        <w:spacing w:before="100" w:beforeAutospacing="1" w:line="276" w:lineRule="auto"/>
        <w:rPr>
          <w:szCs w:val="24"/>
          <w:lang w:val="es-ES_tradnl"/>
        </w:rPr>
      </w:pPr>
      <w:r w:rsidRPr="006B5DAA">
        <w:rPr>
          <w:b/>
          <w:szCs w:val="24"/>
          <w:lang w:val="es-ES_tradnl"/>
        </w:rPr>
        <w:t>Grecia prohíbe a mediados de febrero las exportaciones de electricidad por las condiciones climatológicas:</w:t>
      </w:r>
      <w:r w:rsidRPr="006B5DAA">
        <w:rPr>
          <w:szCs w:val="24"/>
          <w:lang w:val="es-ES_tradnl"/>
        </w:rPr>
        <w:t xml:space="preserve"> debido a la limitada disponibilidad de las centrales térmicas. Además no ha podido importar energía por la situación de emergencia que viven sus países vecinos. Grecia no ha querido usar sus recursos hidráulicos ya que son más necesarios en verano. (EUPD 16.02)</w:t>
      </w:r>
    </w:p>
    <w:p w:rsidR="000322F5" w:rsidRPr="006B5DAA" w:rsidRDefault="000322F5" w:rsidP="006B5DAA">
      <w:pPr>
        <w:pStyle w:val="Ttulo3"/>
        <w:rPr>
          <w:lang w:val="es-ES_tradnl"/>
        </w:rPr>
      </w:pPr>
      <w:r w:rsidRPr="006B5DAA">
        <w:rPr>
          <w:lang w:val="es-ES_tradnl"/>
        </w:rPr>
        <w:t>Europa – Tarifas, precios y protección al consumidor</w:t>
      </w:r>
    </w:p>
    <w:p w:rsidR="00184D46" w:rsidRPr="00A85AE7" w:rsidRDefault="006B5DAA" w:rsidP="00A85AE7">
      <w:pPr>
        <w:numPr>
          <w:ilvl w:val="0"/>
          <w:numId w:val="13"/>
        </w:numPr>
        <w:spacing w:before="100" w:beforeAutospacing="1" w:line="276" w:lineRule="auto"/>
        <w:ind w:left="284" w:hanging="284"/>
        <w:rPr>
          <w:lang w:val="es-ES_tradnl"/>
        </w:rPr>
      </w:pPr>
      <w:r>
        <w:rPr>
          <w:b/>
          <w:szCs w:val="24"/>
          <w:lang w:val="es-ES_tradnl"/>
        </w:rPr>
        <w:t>Las “</w:t>
      </w:r>
      <w:proofErr w:type="spellStart"/>
      <w:r>
        <w:rPr>
          <w:b/>
          <w:szCs w:val="24"/>
          <w:lang w:val="es-ES_tradnl"/>
        </w:rPr>
        <w:t>big</w:t>
      </w:r>
      <w:proofErr w:type="spellEnd"/>
      <w:r>
        <w:rPr>
          <w:b/>
          <w:szCs w:val="24"/>
          <w:lang w:val="es-ES_tradnl"/>
        </w:rPr>
        <w:t xml:space="preserve"> </w:t>
      </w:r>
      <w:proofErr w:type="spellStart"/>
      <w:r>
        <w:rPr>
          <w:b/>
          <w:szCs w:val="24"/>
          <w:lang w:val="es-ES_tradnl"/>
        </w:rPr>
        <w:t>six</w:t>
      </w:r>
      <w:proofErr w:type="spellEnd"/>
      <w:r>
        <w:rPr>
          <w:b/>
          <w:szCs w:val="24"/>
          <w:lang w:val="es-ES_tradnl"/>
        </w:rPr>
        <w:t>” británicas reducen sus tarifas de gas y electricidad entre un 5 y 6%</w:t>
      </w:r>
      <w:r>
        <w:rPr>
          <w:szCs w:val="24"/>
          <w:lang w:val="es-ES_tradnl"/>
        </w:rPr>
        <w:t xml:space="preserve"> (EUE 27.01)</w:t>
      </w:r>
      <w:r w:rsidR="00184D46" w:rsidRPr="00A85AE7">
        <w:rPr>
          <w:lang w:val="es-ES_tradnl"/>
        </w:rPr>
        <w:t xml:space="preserve"> </w:t>
      </w:r>
    </w:p>
    <w:p w:rsidR="00184D46" w:rsidRPr="00A85AE7" w:rsidRDefault="006B5DAA" w:rsidP="00A85AE7">
      <w:pPr>
        <w:numPr>
          <w:ilvl w:val="0"/>
          <w:numId w:val="13"/>
        </w:numPr>
        <w:spacing w:before="100" w:beforeAutospacing="1" w:line="276" w:lineRule="auto"/>
        <w:ind w:left="284" w:hanging="284"/>
        <w:rPr>
          <w:lang w:val="es-ES_tradnl"/>
        </w:rPr>
      </w:pPr>
      <w:r w:rsidRPr="00C07CB0">
        <w:rPr>
          <w:b/>
          <w:szCs w:val="24"/>
          <w:lang w:val="es-ES_tradnl"/>
        </w:rPr>
        <w:t xml:space="preserve">El regulador británico </w:t>
      </w:r>
      <w:proofErr w:type="spellStart"/>
      <w:r w:rsidRPr="00C07CB0">
        <w:rPr>
          <w:b/>
          <w:szCs w:val="24"/>
          <w:lang w:val="es-ES_tradnl"/>
        </w:rPr>
        <w:t>Ofgem</w:t>
      </w:r>
      <w:proofErr w:type="spellEnd"/>
      <w:r w:rsidRPr="00C07CB0">
        <w:rPr>
          <w:b/>
          <w:szCs w:val="24"/>
          <w:lang w:val="es-ES_tradnl"/>
        </w:rPr>
        <w:t xml:space="preserve"> propone nuevas medidas de transparencia para las compañías energéticas.</w:t>
      </w:r>
      <w:r>
        <w:rPr>
          <w:b/>
          <w:szCs w:val="24"/>
          <w:lang w:val="es-ES_tradnl"/>
        </w:rPr>
        <w:t xml:space="preserve"> </w:t>
      </w:r>
      <w:r w:rsidRPr="000A5015">
        <w:rPr>
          <w:szCs w:val="24"/>
          <w:lang w:val="es-ES_tradnl"/>
        </w:rPr>
        <w:t>Entre ellas, la estandarización en la contabilización de los costes  de combustible de las empresas, estandarización contable  y metodologías de cálculo de beneficios. (EUPD 01.02)</w:t>
      </w:r>
    </w:p>
    <w:p w:rsidR="006B5DAA" w:rsidRPr="006B5DAA" w:rsidRDefault="006B5DAA" w:rsidP="00A85AE7">
      <w:pPr>
        <w:numPr>
          <w:ilvl w:val="0"/>
          <w:numId w:val="13"/>
        </w:numPr>
        <w:spacing w:before="100" w:beforeAutospacing="1" w:line="276" w:lineRule="auto"/>
        <w:ind w:left="284" w:hanging="284"/>
        <w:rPr>
          <w:lang w:val="es-ES_tradnl"/>
        </w:rPr>
      </w:pPr>
      <w:r w:rsidRPr="006B5DAA">
        <w:rPr>
          <w:b/>
          <w:szCs w:val="24"/>
          <w:lang w:val="es-ES_tradnl"/>
        </w:rPr>
        <w:t>Según el Comité de Cambio Climático británico</w:t>
      </w:r>
      <w:r w:rsidRPr="006B5DAA">
        <w:rPr>
          <w:rFonts w:asciiTheme="minorHAnsi" w:hAnsiTheme="minorHAnsi"/>
          <w:b/>
          <w:szCs w:val="24"/>
          <w:lang w:val="es-ES_tradnl"/>
        </w:rPr>
        <w:t xml:space="preserve">, la </w:t>
      </w:r>
      <w:hyperlink r:id="rId10" w:history="1">
        <w:r w:rsidRPr="006B5DAA">
          <w:rPr>
            <w:rStyle w:val="Hipervnculo"/>
            <w:rFonts w:asciiTheme="minorHAnsi" w:hAnsiTheme="minorHAnsi"/>
            <w:b/>
            <w:szCs w:val="24"/>
            <w:lang w:val="es-ES_tradnl"/>
          </w:rPr>
          <w:t>factura energética</w:t>
        </w:r>
      </w:hyperlink>
      <w:r w:rsidRPr="006B5DAA">
        <w:rPr>
          <w:rFonts w:asciiTheme="minorHAnsi" w:hAnsiTheme="minorHAnsi"/>
          <w:b/>
          <w:szCs w:val="24"/>
          <w:lang w:val="es-ES_tradnl"/>
        </w:rPr>
        <w:t xml:space="preserve"> de</w:t>
      </w:r>
      <w:r w:rsidRPr="006B5DAA">
        <w:rPr>
          <w:b/>
          <w:szCs w:val="24"/>
          <w:lang w:val="es-ES_tradnl"/>
        </w:rPr>
        <w:t xml:space="preserve"> los hogares aumentará unos 131 </w:t>
      </w:r>
      <w:r w:rsidR="00B677F1">
        <w:rPr>
          <w:b/>
          <w:szCs w:val="24"/>
          <w:lang w:val="es-ES_tradnl"/>
        </w:rPr>
        <w:t>€</w:t>
      </w:r>
      <w:r w:rsidRPr="006B5DAA">
        <w:rPr>
          <w:b/>
          <w:szCs w:val="24"/>
          <w:lang w:val="es-ES_tradnl"/>
        </w:rPr>
        <w:t xml:space="preserve"> de media para 2020, </w:t>
      </w:r>
      <w:r w:rsidRPr="0003708C">
        <w:rPr>
          <w:szCs w:val="24"/>
          <w:lang w:val="es-ES_tradnl"/>
        </w:rPr>
        <w:t xml:space="preserve">por la implantación de medidas para reducir la huella de carbono del país. Aunque afirman que </w:t>
      </w:r>
      <w:r>
        <w:rPr>
          <w:szCs w:val="24"/>
          <w:lang w:val="es-ES_tradnl"/>
        </w:rPr>
        <w:t>este incremento no sería tan dramático si se implantan</w:t>
      </w:r>
      <w:r w:rsidRPr="0003708C">
        <w:rPr>
          <w:szCs w:val="24"/>
          <w:lang w:val="es-ES_tradnl"/>
        </w:rPr>
        <w:t xml:space="preserve"> medidas de eficiencia energética. (EUE 13.01) </w:t>
      </w:r>
    </w:p>
    <w:p w:rsidR="006B5DAA" w:rsidRPr="006B5DAA" w:rsidRDefault="006B5DAA" w:rsidP="00184D46">
      <w:pPr>
        <w:numPr>
          <w:ilvl w:val="0"/>
          <w:numId w:val="13"/>
        </w:numPr>
        <w:spacing w:before="100" w:beforeAutospacing="1" w:line="276" w:lineRule="auto"/>
        <w:ind w:left="284" w:hanging="284"/>
        <w:rPr>
          <w:lang w:val="es-ES_tradnl"/>
        </w:rPr>
      </w:pPr>
      <w:r w:rsidRPr="006B5DAA">
        <w:rPr>
          <w:b/>
          <w:szCs w:val="24"/>
          <w:lang w:val="es-ES_tradnl"/>
        </w:rPr>
        <w:t>Polonia no desregulará las tarifas minoristas para hogares hasta 2013 pese a no estar en línea con la normativa europea</w:t>
      </w:r>
      <w:r w:rsidRPr="006B5DAA">
        <w:rPr>
          <w:szCs w:val="24"/>
          <w:lang w:val="es-ES_tradnl"/>
        </w:rPr>
        <w:t xml:space="preserve">. </w:t>
      </w:r>
      <w:r w:rsidRPr="00C07CB0">
        <w:rPr>
          <w:szCs w:val="24"/>
          <w:lang w:val="es-ES_tradnl"/>
        </w:rPr>
        <w:t>Las seis distribuidoras polacas quieren la liberalización pero el regulador no la concederá hasta que se aprueben medidas para proteger a los consumidores vulnerables. Polonia cuenta con 629.000 consumidores vulnerables y las empresas recibirían compensación estatal por ofrecerles descuentos en sus facturas energéticas. (EUE 13.01)</w:t>
      </w:r>
      <w:r w:rsidRPr="00C07CB0">
        <w:rPr>
          <w:b/>
          <w:szCs w:val="24"/>
          <w:lang w:val="es-ES_tradnl"/>
        </w:rPr>
        <w:t xml:space="preserve"> </w:t>
      </w:r>
    </w:p>
    <w:p w:rsidR="006B5DAA" w:rsidRDefault="004D1E88" w:rsidP="006B5DAA">
      <w:pPr>
        <w:numPr>
          <w:ilvl w:val="0"/>
          <w:numId w:val="13"/>
        </w:numPr>
        <w:spacing w:before="100" w:beforeAutospacing="1" w:line="276" w:lineRule="auto"/>
        <w:ind w:left="284" w:hanging="284"/>
        <w:rPr>
          <w:szCs w:val="24"/>
          <w:lang w:val="es-ES_tradnl"/>
        </w:rPr>
      </w:pPr>
      <w:r>
        <w:rPr>
          <w:b/>
          <w:szCs w:val="24"/>
          <w:lang w:val="es-ES_tradnl"/>
        </w:rPr>
        <w:t>La c</w:t>
      </w:r>
      <w:r w:rsidR="006B5DAA" w:rsidRPr="006B5DAA">
        <w:rPr>
          <w:b/>
          <w:szCs w:val="24"/>
          <w:lang w:val="es-ES_tradnl"/>
        </w:rPr>
        <w:t>ámara alta suiza rechaza el plan del cantón de Lucerna para armonizar las tarifas eléctricas a nivel nacional</w:t>
      </w:r>
      <w:r w:rsidR="006B5DAA" w:rsidRPr="006B5DAA">
        <w:rPr>
          <w:szCs w:val="24"/>
          <w:lang w:val="es-ES_tradnl"/>
        </w:rPr>
        <w:t>,</w:t>
      </w:r>
      <w:r w:rsidR="006B5DAA" w:rsidRPr="00C07CB0">
        <w:rPr>
          <w:szCs w:val="24"/>
          <w:lang w:val="es-ES_tradnl"/>
        </w:rPr>
        <w:t xml:space="preserve"> alegando que debe ser el mercado el que sirva para ofrecer tarifas más bajas y no el intervencionismo a nivel federal. Actualmente existen desigualdades del 40% al 70% en las tarifas a lo largo de Suiza. (EUE 23.01)</w:t>
      </w:r>
    </w:p>
    <w:p w:rsidR="006B5DAA" w:rsidRPr="006B5DAA" w:rsidRDefault="006B5DAA" w:rsidP="006B5DAA">
      <w:pPr>
        <w:numPr>
          <w:ilvl w:val="0"/>
          <w:numId w:val="13"/>
        </w:numPr>
        <w:spacing w:before="100" w:beforeAutospacing="1" w:line="276" w:lineRule="auto"/>
        <w:ind w:left="284" w:hanging="284"/>
        <w:rPr>
          <w:szCs w:val="24"/>
          <w:lang w:val="es-ES_tradnl"/>
        </w:rPr>
      </w:pPr>
      <w:r w:rsidRPr="006B5DAA">
        <w:rPr>
          <w:b/>
          <w:szCs w:val="24"/>
          <w:lang w:val="es-ES_tradnl"/>
        </w:rPr>
        <w:t>El Gobierno belga vota la congelación de la indexación de los precios domésticos de gas natural y electricidad a los precios de los mercados globales</w:t>
      </w:r>
      <w:r w:rsidRPr="006B5DAA">
        <w:rPr>
          <w:szCs w:val="24"/>
          <w:lang w:val="es-ES_tradnl"/>
        </w:rPr>
        <w:t>,</w:t>
      </w:r>
      <w:r w:rsidRPr="00C07CB0">
        <w:rPr>
          <w:szCs w:val="24"/>
          <w:lang w:val="es-ES_tradnl"/>
        </w:rPr>
        <w:t xml:space="preserve"> siguiendo a la publicación del regulador CRE</w:t>
      </w:r>
      <w:r>
        <w:rPr>
          <w:szCs w:val="24"/>
          <w:lang w:val="es-ES_tradnl"/>
        </w:rPr>
        <w:t>G</w:t>
      </w:r>
      <w:r w:rsidRPr="00C07CB0">
        <w:rPr>
          <w:szCs w:val="24"/>
          <w:lang w:val="es-ES_tradnl"/>
        </w:rPr>
        <w:t xml:space="preserve"> de un </w:t>
      </w:r>
      <w:hyperlink r:id="rId11" w:history="1">
        <w:r w:rsidRPr="006B5DAA">
          <w:rPr>
            <w:rStyle w:val="Hipervnculo"/>
            <w:rFonts w:asciiTheme="minorHAnsi" w:hAnsiTheme="minorHAnsi"/>
            <w:szCs w:val="24"/>
            <w:lang w:val="es-ES_tradnl"/>
          </w:rPr>
          <w:t>estudio</w:t>
        </w:r>
      </w:hyperlink>
      <w:r w:rsidRPr="006B5DAA">
        <w:rPr>
          <w:rFonts w:asciiTheme="minorHAnsi" w:hAnsiTheme="minorHAnsi"/>
          <w:szCs w:val="24"/>
          <w:lang w:val="es-ES_tradnl"/>
        </w:rPr>
        <w:t xml:space="preserve"> </w:t>
      </w:r>
      <w:r w:rsidRPr="00C07CB0">
        <w:rPr>
          <w:szCs w:val="24"/>
          <w:lang w:val="es-ES_tradnl"/>
        </w:rPr>
        <w:t>sobre los movimientos de precios residenciales de gas y electricidad. Los precios de gas y electricidad aumentaron un 20% y un 12% respectivamente el año pasado. (EUPD 14.02)</w:t>
      </w:r>
    </w:p>
    <w:p w:rsidR="00184D46" w:rsidRPr="006B5DAA" w:rsidRDefault="000322F5" w:rsidP="006B5DAA">
      <w:pPr>
        <w:pStyle w:val="Ttulo3"/>
        <w:rPr>
          <w:lang w:val="es-ES_tradnl"/>
        </w:rPr>
      </w:pPr>
      <w:r w:rsidRPr="006B5DAA">
        <w:rPr>
          <w:lang w:val="es-ES_tradnl"/>
        </w:rPr>
        <w:t>Europa –Redes e infraestructuras</w:t>
      </w:r>
    </w:p>
    <w:p w:rsidR="00184D46" w:rsidRPr="00A85AE7" w:rsidRDefault="006B5DAA" w:rsidP="00A85AE7">
      <w:pPr>
        <w:numPr>
          <w:ilvl w:val="0"/>
          <w:numId w:val="13"/>
        </w:numPr>
        <w:spacing w:before="100" w:beforeAutospacing="1" w:line="276" w:lineRule="auto"/>
        <w:ind w:left="284" w:hanging="284"/>
        <w:rPr>
          <w:lang w:val="es-ES_tradnl"/>
        </w:rPr>
      </w:pPr>
      <w:r w:rsidRPr="00C54BE6">
        <w:rPr>
          <w:b/>
          <w:szCs w:val="24"/>
          <w:lang w:val="es-ES_tradnl"/>
        </w:rPr>
        <w:t xml:space="preserve">El regulador federal de la red alemana BNA ha </w:t>
      </w:r>
      <w:r w:rsidRPr="00DF4F41">
        <w:rPr>
          <w:rFonts w:asciiTheme="minorHAnsi" w:hAnsiTheme="minorHAnsi"/>
          <w:b/>
          <w:szCs w:val="24"/>
          <w:lang w:val="es-ES_tradnl"/>
        </w:rPr>
        <w:t xml:space="preserve">publicado el </w:t>
      </w:r>
      <w:hyperlink r:id="rId12" w:history="1">
        <w:r w:rsidRPr="00DF4F41">
          <w:rPr>
            <w:rStyle w:val="Hipervnculo"/>
            <w:rFonts w:asciiTheme="minorHAnsi" w:hAnsiTheme="minorHAnsi"/>
            <w:b/>
            <w:szCs w:val="24"/>
            <w:lang w:val="es-ES_tradnl"/>
          </w:rPr>
          <w:t>informe</w:t>
        </w:r>
      </w:hyperlink>
      <w:r w:rsidRPr="00DF4F41">
        <w:rPr>
          <w:rFonts w:asciiTheme="minorHAnsi" w:hAnsiTheme="minorHAnsi"/>
          <w:b/>
          <w:szCs w:val="24"/>
          <w:lang w:val="es-ES_tradnl"/>
        </w:rPr>
        <w:t xml:space="preserve"> ‘</w:t>
      </w:r>
      <w:proofErr w:type="spellStart"/>
      <w:r w:rsidRPr="00DF4F41">
        <w:rPr>
          <w:rFonts w:asciiTheme="minorHAnsi" w:hAnsiTheme="minorHAnsi"/>
          <w:b/>
          <w:szCs w:val="24"/>
          <w:lang w:val="es-ES_tradnl"/>
        </w:rPr>
        <w:t>smart</w:t>
      </w:r>
      <w:proofErr w:type="spellEnd"/>
      <w:r w:rsidRPr="00AA3B00">
        <w:rPr>
          <w:b/>
          <w:szCs w:val="24"/>
          <w:lang w:val="es-ES_tradnl"/>
        </w:rPr>
        <w:t xml:space="preserve"> </w:t>
      </w:r>
      <w:proofErr w:type="spellStart"/>
      <w:r w:rsidRPr="00AA3B00">
        <w:rPr>
          <w:b/>
          <w:szCs w:val="24"/>
          <w:lang w:val="es-ES_tradnl"/>
        </w:rPr>
        <w:t>grid</w:t>
      </w:r>
      <w:proofErr w:type="spellEnd"/>
      <w:r w:rsidRPr="00AA3B00">
        <w:rPr>
          <w:b/>
          <w:szCs w:val="24"/>
          <w:lang w:val="es-ES_tradnl"/>
        </w:rPr>
        <w:t xml:space="preserve"> and </w:t>
      </w:r>
      <w:proofErr w:type="spellStart"/>
      <w:r w:rsidRPr="00AA3B00">
        <w:rPr>
          <w:b/>
          <w:szCs w:val="24"/>
          <w:lang w:val="es-ES_tradnl"/>
        </w:rPr>
        <w:t>smart</w:t>
      </w:r>
      <w:proofErr w:type="spellEnd"/>
      <w:r w:rsidRPr="00AA3B00">
        <w:rPr>
          <w:b/>
          <w:szCs w:val="24"/>
          <w:lang w:val="es-ES_tradnl"/>
        </w:rPr>
        <w:t xml:space="preserve"> </w:t>
      </w:r>
      <w:proofErr w:type="spellStart"/>
      <w:r w:rsidRPr="00AA3B00">
        <w:rPr>
          <w:b/>
          <w:szCs w:val="24"/>
          <w:lang w:val="es-ES_tradnl"/>
        </w:rPr>
        <w:t>market</w:t>
      </w:r>
      <w:proofErr w:type="spellEnd"/>
      <w:r w:rsidRPr="00AA3B00">
        <w:rPr>
          <w:b/>
          <w:szCs w:val="24"/>
          <w:lang w:val="es-ES_tradnl"/>
        </w:rPr>
        <w:t>’</w:t>
      </w:r>
      <w:r w:rsidRPr="00AA3B00">
        <w:rPr>
          <w:szCs w:val="24"/>
          <w:lang w:val="es-ES_tradnl"/>
        </w:rPr>
        <w:t>,</w:t>
      </w:r>
      <w:r>
        <w:rPr>
          <w:szCs w:val="24"/>
          <w:lang w:val="es-ES_tradnl"/>
        </w:rPr>
        <w:t xml:space="preserve"> </w:t>
      </w:r>
      <w:r w:rsidRPr="00AA3B00">
        <w:rPr>
          <w:szCs w:val="24"/>
          <w:lang w:val="es-ES_tradnl"/>
        </w:rPr>
        <w:t>destacando las cuestiones clave en la transformación del sistema de energía de Alemania. (UBS 03.01)</w:t>
      </w:r>
    </w:p>
    <w:p w:rsidR="00184D46" w:rsidRPr="00A85AE7" w:rsidRDefault="006B5DAA" w:rsidP="00A85AE7">
      <w:pPr>
        <w:numPr>
          <w:ilvl w:val="0"/>
          <w:numId w:val="13"/>
        </w:numPr>
        <w:spacing w:before="100" w:beforeAutospacing="1" w:line="276" w:lineRule="auto"/>
        <w:ind w:left="284" w:hanging="284"/>
        <w:rPr>
          <w:b/>
          <w:lang w:val="es-ES_tradnl"/>
        </w:rPr>
      </w:pPr>
      <w:r w:rsidRPr="009A325B">
        <w:rPr>
          <w:b/>
          <w:szCs w:val="24"/>
          <w:lang w:val="es-ES_tradnl"/>
        </w:rPr>
        <w:t xml:space="preserve">El operador de la red de transporte alemán 50 </w:t>
      </w:r>
      <w:proofErr w:type="spellStart"/>
      <w:r w:rsidRPr="009A325B">
        <w:rPr>
          <w:b/>
          <w:szCs w:val="24"/>
          <w:lang w:val="es-ES_tradnl"/>
        </w:rPr>
        <w:t>Herz</w:t>
      </w:r>
      <w:proofErr w:type="spellEnd"/>
      <w:r w:rsidRPr="009A325B">
        <w:rPr>
          <w:b/>
          <w:szCs w:val="24"/>
          <w:lang w:val="es-ES_tradnl"/>
        </w:rPr>
        <w:t>, elabora un plan para conectar 800</w:t>
      </w:r>
      <w:r w:rsidR="00DF4F41">
        <w:rPr>
          <w:b/>
          <w:szCs w:val="24"/>
          <w:lang w:val="es-ES_tradnl"/>
        </w:rPr>
        <w:t xml:space="preserve"> </w:t>
      </w:r>
      <w:r w:rsidRPr="009A325B">
        <w:rPr>
          <w:b/>
          <w:szCs w:val="24"/>
          <w:lang w:val="es-ES_tradnl"/>
        </w:rPr>
        <w:t xml:space="preserve">MW de eólica offshore del Báltico. </w:t>
      </w:r>
      <w:r w:rsidRPr="009A325B">
        <w:rPr>
          <w:szCs w:val="24"/>
          <w:lang w:val="es-ES_tradnl"/>
        </w:rPr>
        <w:t>Con este proyecto se espera instalar un cable subterráneo de 220</w:t>
      </w:r>
      <w:r w:rsidR="00DF4F41">
        <w:rPr>
          <w:szCs w:val="24"/>
          <w:lang w:val="es-ES_tradnl"/>
        </w:rPr>
        <w:t xml:space="preserve"> </w:t>
      </w:r>
      <w:proofErr w:type="spellStart"/>
      <w:r w:rsidRPr="009A325B">
        <w:rPr>
          <w:szCs w:val="24"/>
          <w:lang w:val="es-ES_tradnl"/>
        </w:rPr>
        <w:t>kV</w:t>
      </w:r>
      <w:proofErr w:type="spellEnd"/>
      <w:r w:rsidRPr="009A325B">
        <w:rPr>
          <w:szCs w:val="24"/>
          <w:lang w:val="es-ES_tradnl"/>
        </w:rPr>
        <w:t xml:space="preserve"> para conect</w:t>
      </w:r>
      <w:r w:rsidR="004D1E88">
        <w:rPr>
          <w:szCs w:val="24"/>
          <w:lang w:val="es-ES_tradnl"/>
        </w:rPr>
        <w:t>ar los parques de Arcona-</w:t>
      </w:r>
      <w:proofErr w:type="spellStart"/>
      <w:r w:rsidR="004D1E88">
        <w:rPr>
          <w:szCs w:val="24"/>
          <w:lang w:val="es-ES_tradnl"/>
        </w:rPr>
        <w:t>Backen</w:t>
      </w:r>
      <w:proofErr w:type="spellEnd"/>
      <w:r w:rsidR="004D1E88">
        <w:rPr>
          <w:szCs w:val="24"/>
          <w:lang w:val="es-ES_tradnl"/>
        </w:rPr>
        <w:t xml:space="preserve"> </w:t>
      </w:r>
      <w:r w:rsidRPr="009A325B">
        <w:rPr>
          <w:szCs w:val="24"/>
          <w:lang w:val="es-ES_tradnl"/>
        </w:rPr>
        <w:t>(400</w:t>
      </w:r>
      <w:r w:rsidR="00DF4F41">
        <w:rPr>
          <w:szCs w:val="24"/>
          <w:lang w:val="es-ES_tradnl"/>
        </w:rPr>
        <w:t xml:space="preserve"> </w:t>
      </w:r>
      <w:r w:rsidRPr="009A325B">
        <w:rPr>
          <w:szCs w:val="24"/>
          <w:lang w:val="es-ES_tradnl"/>
        </w:rPr>
        <w:t xml:space="preserve">MW) y el de </w:t>
      </w:r>
      <w:proofErr w:type="spellStart"/>
      <w:r w:rsidRPr="009A325B">
        <w:rPr>
          <w:szCs w:val="24"/>
          <w:lang w:val="es-ES_tradnl"/>
        </w:rPr>
        <w:t>Wikinger</w:t>
      </w:r>
      <w:proofErr w:type="spellEnd"/>
      <w:r w:rsidRPr="009A325B">
        <w:rPr>
          <w:szCs w:val="24"/>
          <w:lang w:val="es-ES_tradnl"/>
        </w:rPr>
        <w:t xml:space="preserve"> (400</w:t>
      </w:r>
      <w:r w:rsidR="00DF4F41">
        <w:rPr>
          <w:szCs w:val="24"/>
          <w:lang w:val="es-ES_tradnl"/>
        </w:rPr>
        <w:t xml:space="preserve"> MW)</w:t>
      </w:r>
    </w:p>
    <w:p w:rsidR="00184D46" w:rsidRPr="006B5DAA" w:rsidRDefault="006B5DAA" w:rsidP="006B5DAA">
      <w:pPr>
        <w:numPr>
          <w:ilvl w:val="0"/>
          <w:numId w:val="13"/>
        </w:numPr>
        <w:spacing w:before="100" w:beforeAutospacing="1" w:line="276" w:lineRule="auto"/>
        <w:ind w:left="284" w:hanging="284"/>
        <w:rPr>
          <w:b/>
          <w:lang w:val="es-ES_tradnl"/>
        </w:rPr>
      </w:pPr>
      <w:r w:rsidRPr="006B5DAA">
        <w:rPr>
          <w:b/>
          <w:szCs w:val="24"/>
          <w:lang w:val="es-ES_tradnl"/>
        </w:rPr>
        <w:t>Israel se muestra entusiasta con la interconexión con Chipre:</w:t>
      </w:r>
      <w:r w:rsidRPr="006B5DAA">
        <w:rPr>
          <w:szCs w:val="24"/>
          <w:lang w:val="es-ES_tradnl"/>
        </w:rPr>
        <w:t xml:space="preserve"> </w:t>
      </w:r>
      <w:r w:rsidRPr="00B76FB3">
        <w:rPr>
          <w:szCs w:val="24"/>
          <w:lang w:val="es-ES_tradnl"/>
        </w:rPr>
        <w:t>la interconexión Euroasiática, de realizarse, supondría la mayor línea subterránea del mundo e interconectaría Israel, Chipre, Grecia y Creta. La línea Chipre –Israel tendría 270</w:t>
      </w:r>
      <w:r w:rsidR="00DF4F41">
        <w:rPr>
          <w:szCs w:val="24"/>
          <w:lang w:val="es-ES_tradnl"/>
        </w:rPr>
        <w:t xml:space="preserve"> </w:t>
      </w:r>
      <w:r w:rsidRPr="00B76FB3">
        <w:rPr>
          <w:szCs w:val="24"/>
          <w:lang w:val="es-ES_tradnl"/>
        </w:rPr>
        <w:t>km de largo y tendría una capacidad de 2.000</w:t>
      </w:r>
      <w:r w:rsidR="00DF4F41">
        <w:rPr>
          <w:szCs w:val="24"/>
          <w:lang w:val="es-ES_tradnl"/>
        </w:rPr>
        <w:t xml:space="preserve"> </w:t>
      </w:r>
      <w:r w:rsidRPr="00B76FB3">
        <w:rPr>
          <w:szCs w:val="24"/>
          <w:lang w:val="es-ES_tradnl"/>
        </w:rPr>
        <w:t>MW en ambos sentidos. Se espera su comienzo para 2013 y su puesta en marcha para 2016. (EUPD 31.01)</w:t>
      </w:r>
      <w:r>
        <w:rPr>
          <w:szCs w:val="24"/>
          <w:lang w:val="es-ES_tradnl"/>
        </w:rPr>
        <w:t xml:space="preserve"> Además </w:t>
      </w:r>
      <w:r w:rsidRPr="00FA1302">
        <w:rPr>
          <w:b/>
          <w:szCs w:val="24"/>
          <w:lang w:val="es-ES_tradnl"/>
        </w:rPr>
        <w:t>aumentarán</w:t>
      </w:r>
      <w:r>
        <w:rPr>
          <w:szCs w:val="24"/>
          <w:lang w:val="es-ES_tradnl"/>
        </w:rPr>
        <w:t xml:space="preserve"> </w:t>
      </w:r>
      <w:r>
        <w:rPr>
          <w:b/>
        </w:rPr>
        <w:t xml:space="preserve">su cooperación en temas energéticos, </w:t>
      </w:r>
      <w:r w:rsidRPr="00927961">
        <w:t xml:space="preserve">con el desarrollo de pozos de gas natural </w:t>
      </w:r>
      <w:r w:rsidRPr="004D1E88">
        <w:rPr>
          <w:i/>
        </w:rPr>
        <w:t>offshore</w:t>
      </w:r>
      <w:r>
        <w:rPr>
          <w:szCs w:val="24"/>
          <w:lang w:val="es-ES_tradnl"/>
        </w:rPr>
        <w:t xml:space="preserve">. </w:t>
      </w:r>
      <w:r>
        <w:t>(EUE 10.01) (EUPD 16.02)</w:t>
      </w:r>
    </w:p>
    <w:p w:rsidR="000322F5" w:rsidRDefault="000322F5" w:rsidP="003429D5">
      <w:pPr>
        <w:pStyle w:val="Ttulo3"/>
        <w:rPr>
          <w:lang w:val="es-ES_tradnl"/>
        </w:rPr>
      </w:pPr>
      <w:r>
        <w:rPr>
          <w:lang w:val="es-ES_tradnl"/>
        </w:rPr>
        <w:t>Europa – Nuclear</w:t>
      </w:r>
    </w:p>
    <w:p w:rsidR="00335B5F" w:rsidRPr="00335B5F" w:rsidRDefault="006B5DAA" w:rsidP="00A85AE7">
      <w:pPr>
        <w:numPr>
          <w:ilvl w:val="0"/>
          <w:numId w:val="13"/>
        </w:numPr>
        <w:spacing w:before="100" w:beforeAutospacing="1" w:line="276" w:lineRule="auto"/>
        <w:ind w:left="284" w:hanging="284"/>
        <w:rPr>
          <w:lang w:val="es-ES_tradnl"/>
        </w:rPr>
      </w:pPr>
      <w:r w:rsidRPr="00335B5F">
        <w:rPr>
          <w:b/>
          <w:szCs w:val="24"/>
          <w:lang w:val="es-ES_tradnl"/>
        </w:rPr>
        <w:t xml:space="preserve">La autoridad de seguridad nuclear belga AFCN, publicará su decisión sobre la extensión de 3 centrales nucleares a mediados de 2012: </w:t>
      </w:r>
      <w:r w:rsidR="00335B5F" w:rsidRPr="006576FC">
        <w:rPr>
          <w:szCs w:val="24"/>
          <w:lang w:val="es-ES_tradnl"/>
        </w:rPr>
        <w:t xml:space="preserve">En esa fecha decidirá si suspender </w:t>
      </w:r>
      <w:r w:rsidR="00335B5F">
        <w:rPr>
          <w:szCs w:val="24"/>
        </w:rPr>
        <w:t xml:space="preserve">el cierre de los reactores de </w:t>
      </w:r>
      <w:proofErr w:type="spellStart"/>
      <w:r w:rsidR="00335B5F">
        <w:rPr>
          <w:szCs w:val="24"/>
        </w:rPr>
        <w:t>Doel</w:t>
      </w:r>
      <w:proofErr w:type="spellEnd"/>
      <w:r w:rsidR="00335B5F">
        <w:rPr>
          <w:szCs w:val="24"/>
        </w:rPr>
        <w:t xml:space="preserve"> 1 y 2 y </w:t>
      </w:r>
      <w:proofErr w:type="spellStart"/>
      <w:r w:rsidR="00335B5F">
        <w:rPr>
          <w:szCs w:val="24"/>
        </w:rPr>
        <w:t>Tihange</w:t>
      </w:r>
      <w:proofErr w:type="spellEnd"/>
      <w:r w:rsidR="00335B5F">
        <w:rPr>
          <w:szCs w:val="24"/>
        </w:rPr>
        <w:t xml:space="preserve"> 1 en 2015. Para ello está teniendo en cuenta el informe de diciembre de </w:t>
      </w:r>
      <w:proofErr w:type="spellStart"/>
      <w:r w:rsidR="00335B5F">
        <w:rPr>
          <w:szCs w:val="24"/>
        </w:rPr>
        <w:t>Electrabel</w:t>
      </w:r>
      <w:proofErr w:type="spellEnd"/>
      <w:r w:rsidR="00335B5F">
        <w:rPr>
          <w:szCs w:val="24"/>
        </w:rPr>
        <w:t xml:space="preserve"> en el que ponía de manifiesto la realización de un programa de mejoras para los próximos siete años. </w:t>
      </w:r>
      <w:r w:rsidR="00335B5F" w:rsidRPr="00F22336">
        <w:rPr>
          <w:szCs w:val="24"/>
        </w:rPr>
        <w:t xml:space="preserve">(PIE </w:t>
      </w:r>
      <w:r w:rsidR="00335B5F">
        <w:rPr>
          <w:szCs w:val="24"/>
        </w:rPr>
        <w:t>09.01</w:t>
      </w:r>
      <w:r w:rsidR="00335B5F" w:rsidRPr="00F22336">
        <w:rPr>
          <w:szCs w:val="24"/>
        </w:rPr>
        <w:t>)</w:t>
      </w:r>
    </w:p>
    <w:p w:rsidR="00335B5F" w:rsidRPr="00335B5F" w:rsidRDefault="00335B5F" w:rsidP="00424D21">
      <w:pPr>
        <w:numPr>
          <w:ilvl w:val="0"/>
          <w:numId w:val="13"/>
        </w:numPr>
        <w:spacing w:before="100" w:beforeAutospacing="1" w:line="276" w:lineRule="auto"/>
        <w:ind w:left="284" w:hanging="284"/>
        <w:rPr>
          <w:lang w:val="es-ES_tradnl"/>
        </w:rPr>
      </w:pPr>
      <w:r w:rsidRPr="00335B5F">
        <w:rPr>
          <w:b/>
          <w:szCs w:val="24"/>
          <w:lang w:val="es-ES_tradnl"/>
        </w:rPr>
        <w:t>EDF tendrá que gastar 10.</w:t>
      </w:r>
      <w:r w:rsidRPr="00335B5F">
        <w:rPr>
          <w:b/>
          <w:szCs w:val="24"/>
        </w:rPr>
        <w:t xml:space="preserve">000 </w:t>
      </w:r>
      <w:r w:rsidR="00DF4F41">
        <w:rPr>
          <w:b/>
          <w:szCs w:val="24"/>
        </w:rPr>
        <w:t>millones de</w:t>
      </w:r>
      <w:r w:rsidRPr="00335B5F">
        <w:rPr>
          <w:b/>
          <w:szCs w:val="24"/>
        </w:rPr>
        <w:t xml:space="preserve"> </w:t>
      </w:r>
      <w:r w:rsidR="00B677F1">
        <w:rPr>
          <w:b/>
          <w:szCs w:val="24"/>
        </w:rPr>
        <w:t>€</w:t>
      </w:r>
      <w:r w:rsidRPr="00335B5F">
        <w:rPr>
          <w:b/>
          <w:szCs w:val="24"/>
        </w:rPr>
        <w:t xml:space="preserve"> en nuevas medidas de seguridad de sus reactores en Francia. </w:t>
      </w:r>
      <w:r w:rsidRPr="00907327">
        <w:rPr>
          <w:szCs w:val="24"/>
        </w:rPr>
        <w:t xml:space="preserve">El Ministro de energía se reunirá con los operadores nucleares para fijar el calendario de implantación de las nuevas medidas de seguridad. (PIE 09.01). </w:t>
      </w:r>
      <w:r w:rsidRPr="00907327">
        <w:rPr>
          <w:b/>
          <w:szCs w:val="24"/>
          <w:lang w:val="es-ES_tradnl"/>
        </w:rPr>
        <w:t>Francia estima el coste de desmantelamiento de sus centrales nucleares en 22.</w:t>
      </w:r>
      <w:r w:rsidR="00DF4F41">
        <w:rPr>
          <w:b/>
          <w:szCs w:val="24"/>
        </w:rPr>
        <w:t>200 millones de</w:t>
      </w:r>
      <w:r w:rsidRPr="00907327">
        <w:rPr>
          <w:b/>
          <w:szCs w:val="24"/>
        </w:rPr>
        <w:t xml:space="preserve"> </w:t>
      </w:r>
      <w:r w:rsidR="00B677F1">
        <w:rPr>
          <w:b/>
          <w:szCs w:val="24"/>
        </w:rPr>
        <w:t>€</w:t>
      </w:r>
      <w:r w:rsidRPr="00907327">
        <w:rPr>
          <w:b/>
          <w:szCs w:val="24"/>
        </w:rPr>
        <w:t xml:space="preserve">, </w:t>
      </w:r>
      <w:r w:rsidRPr="00907327">
        <w:rPr>
          <w:szCs w:val="24"/>
        </w:rPr>
        <w:t xml:space="preserve">aunque avisa que podría ser superior. Ante las elecciones presidenciales de marzo contrariamente al presidente Sarkozy en busca de la reelección que apoya la nuclear, los </w:t>
      </w:r>
      <w:r w:rsidRPr="00335B5F">
        <w:rPr>
          <w:rFonts w:asciiTheme="minorHAnsi" w:hAnsiTheme="minorHAnsi"/>
          <w:szCs w:val="24"/>
        </w:rPr>
        <w:t xml:space="preserve">socialistas y verdes han pactado el cierre de 24 nucleares para 2025 si llegan al poder. (EUPD 13.01). </w:t>
      </w:r>
      <w:r w:rsidRPr="00335B5F">
        <w:rPr>
          <w:rFonts w:asciiTheme="minorHAnsi" w:hAnsiTheme="minorHAnsi"/>
          <w:b/>
          <w:szCs w:val="24"/>
        </w:rPr>
        <w:t>El informe “</w:t>
      </w:r>
      <w:proofErr w:type="spellStart"/>
      <w:r w:rsidR="00E3271B" w:rsidRPr="00335B5F">
        <w:rPr>
          <w:rFonts w:asciiTheme="minorHAnsi" w:hAnsiTheme="minorHAnsi"/>
        </w:rPr>
        <w:fldChar w:fldCharType="begin"/>
      </w:r>
      <w:r w:rsidRPr="00335B5F">
        <w:rPr>
          <w:rFonts w:asciiTheme="minorHAnsi" w:hAnsiTheme="minorHAnsi"/>
        </w:rPr>
        <w:instrText>HYPERLINK "http://www.economie.gouv.fr/energies2050"</w:instrText>
      </w:r>
      <w:r w:rsidR="00E3271B" w:rsidRPr="00335B5F">
        <w:rPr>
          <w:rFonts w:asciiTheme="minorHAnsi" w:hAnsiTheme="minorHAnsi"/>
        </w:rPr>
        <w:fldChar w:fldCharType="separate"/>
      </w:r>
      <w:r w:rsidRPr="00335B5F">
        <w:rPr>
          <w:rStyle w:val="Hipervnculo"/>
          <w:rFonts w:asciiTheme="minorHAnsi" w:hAnsiTheme="minorHAnsi"/>
          <w:b/>
          <w:szCs w:val="24"/>
        </w:rPr>
        <w:t>energies</w:t>
      </w:r>
      <w:proofErr w:type="spellEnd"/>
      <w:r w:rsidRPr="00335B5F">
        <w:rPr>
          <w:rStyle w:val="Hipervnculo"/>
          <w:rFonts w:asciiTheme="minorHAnsi" w:hAnsiTheme="minorHAnsi"/>
          <w:b/>
          <w:szCs w:val="24"/>
        </w:rPr>
        <w:t xml:space="preserve"> 2050</w:t>
      </w:r>
      <w:r w:rsidR="00E3271B" w:rsidRPr="00335B5F">
        <w:rPr>
          <w:rFonts w:asciiTheme="minorHAnsi" w:hAnsiTheme="minorHAnsi"/>
        </w:rPr>
        <w:fldChar w:fldCharType="end"/>
      </w:r>
      <w:r w:rsidRPr="00335B5F">
        <w:rPr>
          <w:rFonts w:asciiTheme="minorHAnsi" w:hAnsiTheme="minorHAnsi"/>
          <w:b/>
          <w:szCs w:val="24"/>
        </w:rPr>
        <w:t xml:space="preserve">” </w:t>
      </w:r>
      <w:r w:rsidRPr="00335B5F">
        <w:rPr>
          <w:rFonts w:asciiTheme="minorHAnsi" w:hAnsiTheme="minorHAnsi"/>
          <w:szCs w:val="24"/>
        </w:rPr>
        <w:t>publicado</w:t>
      </w:r>
      <w:r w:rsidRPr="00907327">
        <w:rPr>
          <w:szCs w:val="24"/>
        </w:rPr>
        <w:t xml:space="preserve"> a mediados de febrero</w:t>
      </w:r>
      <w:r w:rsidRPr="00907327">
        <w:rPr>
          <w:b/>
          <w:szCs w:val="24"/>
        </w:rPr>
        <w:t xml:space="preserve"> recomienda la extensión de la vida útil de las centrales a 60 años,</w:t>
      </w:r>
      <w:r w:rsidRPr="00907327">
        <w:rPr>
          <w:szCs w:val="24"/>
        </w:rPr>
        <w:t xml:space="preserve"> como mejor escenario económico y medioambiental para el mix de generación francés. (EUPD 14.02). </w:t>
      </w:r>
    </w:p>
    <w:p w:rsidR="00335B5F" w:rsidRPr="00335B5F" w:rsidRDefault="00335B5F" w:rsidP="00424D21">
      <w:pPr>
        <w:numPr>
          <w:ilvl w:val="0"/>
          <w:numId w:val="13"/>
        </w:numPr>
        <w:spacing w:before="100" w:beforeAutospacing="1" w:line="276" w:lineRule="auto"/>
        <w:ind w:left="284" w:hanging="284"/>
        <w:rPr>
          <w:lang w:val="es-ES_tradnl"/>
        </w:rPr>
      </w:pPr>
      <w:r w:rsidRPr="00335B5F">
        <w:rPr>
          <w:b/>
          <w:szCs w:val="24"/>
        </w:rPr>
        <w:t xml:space="preserve">La empresa holandesa Delta, suspende los planes de construcción de una segunda central nuclear en </w:t>
      </w:r>
      <w:proofErr w:type="spellStart"/>
      <w:r w:rsidRPr="00335B5F">
        <w:rPr>
          <w:b/>
          <w:szCs w:val="24"/>
        </w:rPr>
        <w:t>Borssele</w:t>
      </w:r>
      <w:proofErr w:type="spellEnd"/>
      <w:r w:rsidRPr="00335B5F">
        <w:rPr>
          <w:szCs w:val="24"/>
        </w:rPr>
        <w:t xml:space="preserve">. </w:t>
      </w:r>
      <w:r w:rsidRPr="00907327">
        <w:rPr>
          <w:szCs w:val="24"/>
        </w:rPr>
        <w:t>Entre las causas de suspensión menciona los enormes riesgos de afrontar el proyecto en solitario, además de la crisis financiera, la sobrecapacidad del mercado eléctrico, los bajos precios energéticos y la incertidumbre en los derechos de CO</w:t>
      </w:r>
      <w:r w:rsidRPr="00907327">
        <w:rPr>
          <w:szCs w:val="24"/>
          <w:vertAlign w:val="subscript"/>
        </w:rPr>
        <w:t>2</w:t>
      </w:r>
      <w:r w:rsidRPr="00907327">
        <w:rPr>
          <w:szCs w:val="24"/>
        </w:rPr>
        <w:t xml:space="preserve"> bajo el EU-ETS post 2012. La suspensión será de al menos tres años. (EUPD 24.01)</w:t>
      </w:r>
    </w:p>
    <w:p w:rsidR="001853F8" w:rsidRPr="00335B5F" w:rsidRDefault="00335B5F" w:rsidP="00424D21">
      <w:pPr>
        <w:numPr>
          <w:ilvl w:val="0"/>
          <w:numId w:val="13"/>
        </w:numPr>
        <w:spacing w:before="100" w:beforeAutospacing="1" w:line="276" w:lineRule="auto"/>
        <w:ind w:left="284" w:hanging="284"/>
        <w:rPr>
          <w:lang w:val="es-ES_tradnl"/>
        </w:rPr>
      </w:pPr>
      <w:r w:rsidRPr="00CC6FF7">
        <w:rPr>
          <w:b/>
          <w:szCs w:val="24"/>
        </w:rPr>
        <w:t>Un Tribuna</w:t>
      </w:r>
      <w:r>
        <w:rPr>
          <w:b/>
          <w:szCs w:val="24"/>
        </w:rPr>
        <w:t xml:space="preserve">l fiscal del Estado de </w:t>
      </w:r>
      <w:proofErr w:type="spellStart"/>
      <w:r>
        <w:rPr>
          <w:b/>
          <w:szCs w:val="24"/>
        </w:rPr>
        <w:t>Baden-Wü</w:t>
      </w:r>
      <w:r w:rsidRPr="00CC6FF7">
        <w:rPr>
          <w:b/>
          <w:szCs w:val="24"/>
        </w:rPr>
        <w:t>ttemberg</w:t>
      </w:r>
      <w:proofErr w:type="spellEnd"/>
      <w:r w:rsidRPr="00CC6FF7">
        <w:rPr>
          <w:b/>
          <w:szCs w:val="24"/>
        </w:rPr>
        <w:t xml:space="preserve"> deniega el recurso de </w:t>
      </w:r>
      <w:proofErr w:type="spellStart"/>
      <w:r w:rsidRPr="00CC6FF7">
        <w:rPr>
          <w:b/>
          <w:szCs w:val="24"/>
        </w:rPr>
        <w:t>EnBW</w:t>
      </w:r>
      <w:proofErr w:type="spellEnd"/>
      <w:r w:rsidRPr="00CC6FF7">
        <w:rPr>
          <w:b/>
          <w:szCs w:val="24"/>
        </w:rPr>
        <w:t xml:space="preserve"> contra la tasa sobre el combustible nuclear</w:t>
      </w:r>
      <w:r w:rsidRPr="00CC6FF7">
        <w:rPr>
          <w:szCs w:val="24"/>
        </w:rPr>
        <w:t>, considerando que el impuesto entra dentro de la legalidad</w:t>
      </w:r>
      <w:r>
        <w:rPr>
          <w:szCs w:val="24"/>
        </w:rPr>
        <w:t>. Según la decisión de este tribunal que difiere de otras sentencias, el impuesto nuclear se vinculó</w:t>
      </w:r>
      <w:r w:rsidRPr="00CC6FF7">
        <w:rPr>
          <w:szCs w:val="24"/>
        </w:rPr>
        <w:t xml:space="preserve"> al Plan de Ajuste en Alemania y no a la extensión </w:t>
      </w:r>
      <w:r>
        <w:rPr>
          <w:szCs w:val="24"/>
        </w:rPr>
        <w:t xml:space="preserve">de la vida útil </w:t>
      </w:r>
      <w:r w:rsidRPr="00CC6FF7">
        <w:rPr>
          <w:szCs w:val="24"/>
        </w:rPr>
        <w:t>nuclear, por lo que el cierre anticipado de plantas nucleares y la suspensión de la extensión inicialmente aprobada puede no constituir un argumento suficiente</w:t>
      </w:r>
      <w:r>
        <w:rPr>
          <w:szCs w:val="24"/>
        </w:rPr>
        <w:t>. La decisión se puede recurrir ante un tribunal nacional. (Sabadell 13.01)</w:t>
      </w:r>
    </w:p>
    <w:p w:rsidR="00335B5F" w:rsidRPr="00335B5F" w:rsidRDefault="00335B5F" w:rsidP="00335B5F">
      <w:pPr>
        <w:numPr>
          <w:ilvl w:val="0"/>
          <w:numId w:val="13"/>
        </w:numPr>
        <w:spacing w:before="100" w:beforeAutospacing="1" w:line="276" w:lineRule="auto"/>
        <w:ind w:left="284" w:hanging="284"/>
        <w:rPr>
          <w:szCs w:val="24"/>
        </w:rPr>
      </w:pPr>
      <w:r w:rsidRPr="00335B5F">
        <w:rPr>
          <w:b/>
          <w:szCs w:val="24"/>
        </w:rPr>
        <w:t xml:space="preserve">El proceso de subasta para ampliar la central nuclear húngara de </w:t>
      </w:r>
      <w:proofErr w:type="spellStart"/>
      <w:r w:rsidRPr="00335B5F">
        <w:rPr>
          <w:b/>
          <w:szCs w:val="24"/>
        </w:rPr>
        <w:t>Paks</w:t>
      </w:r>
      <w:proofErr w:type="spellEnd"/>
      <w:r w:rsidRPr="00335B5F">
        <w:rPr>
          <w:b/>
          <w:szCs w:val="24"/>
        </w:rPr>
        <w:t>, se realizará en 2012:</w:t>
      </w:r>
      <w:r w:rsidRPr="00335B5F">
        <w:rPr>
          <w:szCs w:val="24"/>
        </w:rPr>
        <w:t xml:space="preserve"> </w:t>
      </w:r>
      <w:r w:rsidRPr="00B76FB3">
        <w:rPr>
          <w:szCs w:val="24"/>
        </w:rPr>
        <w:t xml:space="preserve">Hungría quiere seguir contando con la energía nuclear, pero los dos reactores de </w:t>
      </w:r>
      <w:proofErr w:type="spellStart"/>
      <w:r w:rsidRPr="00B76FB3">
        <w:rPr>
          <w:szCs w:val="24"/>
        </w:rPr>
        <w:t>Paks</w:t>
      </w:r>
      <w:proofErr w:type="spellEnd"/>
      <w:r w:rsidRPr="00B76FB3">
        <w:rPr>
          <w:szCs w:val="24"/>
        </w:rPr>
        <w:t xml:space="preserve"> se cerrarán en 2037 y 2037 por </w:t>
      </w:r>
      <w:r>
        <w:rPr>
          <w:szCs w:val="24"/>
        </w:rPr>
        <w:t xml:space="preserve">pretendiéndose que los nuevos equipos estén dispuesto para su entrada </w:t>
      </w:r>
      <w:r w:rsidRPr="00B76FB3">
        <w:rPr>
          <w:szCs w:val="24"/>
        </w:rPr>
        <w:t>en funcionamiento en 2030. (EUPD 31.01)</w:t>
      </w:r>
    </w:p>
    <w:p w:rsidR="000322F5" w:rsidRDefault="000322F5" w:rsidP="00600C49">
      <w:pPr>
        <w:pStyle w:val="Ttulo3"/>
        <w:rPr>
          <w:lang w:val="es-ES_tradnl"/>
        </w:rPr>
      </w:pPr>
      <w:r>
        <w:rPr>
          <w:lang w:val="es-ES_tradnl"/>
        </w:rPr>
        <w:t>Europa – Gas</w:t>
      </w:r>
    </w:p>
    <w:p w:rsidR="007C5FA9" w:rsidRPr="007C5FA9" w:rsidRDefault="007C5FA9" w:rsidP="001853F8">
      <w:pPr>
        <w:numPr>
          <w:ilvl w:val="0"/>
          <w:numId w:val="13"/>
        </w:numPr>
        <w:spacing w:before="100" w:beforeAutospacing="1" w:line="276" w:lineRule="auto"/>
        <w:ind w:left="284" w:hanging="284"/>
        <w:rPr>
          <w:lang w:val="es-ES_tradnl"/>
        </w:rPr>
      </w:pPr>
      <w:r>
        <w:rPr>
          <w:b/>
          <w:szCs w:val="24"/>
          <w:lang w:val="es-ES_tradnl"/>
        </w:rPr>
        <w:t xml:space="preserve">Polonia podría comenzar los test de producción de gas de esquisto en 2014, </w:t>
      </w:r>
      <w:r w:rsidRPr="00B82C37">
        <w:rPr>
          <w:szCs w:val="24"/>
          <w:lang w:val="es-ES_tradnl"/>
        </w:rPr>
        <w:t>por lo que en 2015 ya estaría produciendo gas de esquisto a pequeña escala. Polonia cuenta con las mayores reservas de gas de esquisto de Europa. M</w:t>
      </w:r>
      <w:r>
        <w:rPr>
          <w:szCs w:val="24"/>
          <w:lang w:val="es-ES_tradnl"/>
        </w:rPr>
        <w:t>á</w:t>
      </w:r>
      <w:r w:rsidRPr="00B82C37">
        <w:rPr>
          <w:szCs w:val="24"/>
          <w:lang w:val="es-ES_tradnl"/>
        </w:rPr>
        <w:t>s del 90% de su producción actual es con carb</w:t>
      </w:r>
      <w:r>
        <w:rPr>
          <w:szCs w:val="24"/>
          <w:lang w:val="es-ES_tradnl"/>
        </w:rPr>
        <w:t>ón, por lo que busca alternati</w:t>
      </w:r>
      <w:r w:rsidRPr="00B82C37">
        <w:rPr>
          <w:szCs w:val="24"/>
          <w:lang w:val="es-ES_tradnl"/>
        </w:rPr>
        <w:t>vas que emitan menos CO</w:t>
      </w:r>
      <w:r w:rsidRPr="002432EB">
        <w:rPr>
          <w:szCs w:val="24"/>
          <w:vertAlign w:val="subscript"/>
          <w:lang w:val="es-ES_tradnl"/>
        </w:rPr>
        <w:t>2</w:t>
      </w:r>
      <w:r w:rsidRPr="00B82C37">
        <w:rPr>
          <w:szCs w:val="24"/>
          <w:lang w:val="es-ES_tradnl"/>
        </w:rPr>
        <w:t>. (EUPD 23.01)</w:t>
      </w:r>
      <w:r w:rsidRPr="00FA1302">
        <w:rPr>
          <w:szCs w:val="24"/>
          <w:lang w:val="es-ES_tradnl"/>
        </w:rPr>
        <w:t xml:space="preserve"> </w:t>
      </w:r>
      <w:r>
        <w:rPr>
          <w:szCs w:val="24"/>
          <w:lang w:val="es-ES_tradnl"/>
        </w:rPr>
        <w:t>(EUE 27.01)</w:t>
      </w:r>
    </w:p>
    <w:p w:rsidR="007C5FA9" w:rsidRPr="007C5FA9" w:rsidRDefault="007C5FA9" w:rsidP="001853F8">
      <w:pPr>
        <w:numPr>
          <w:ilvl w:val="0"/>
          <w:numId w:val="13"/>
        </w:numPr>
        <w:spacing w:before="100" w:beforeAutospacing="1" w:line="276" w:lineRule="auto"/>
        <w:ind w:left="284" w:hanging="284"/>
        <w:rPr>
          <w:b/>
          <w:lang w:val="es-ES_tradnl"/>
        </w:rPr>
      </w:pPr>
      <w:proofErr w:type="spellStart"/>
      <w:r w:rsidRPr="007C5FA9">
        <w:rPr>
          <w:b/>
          <w:szCs w:val="24"/>
          <w:lang w:val="es-ES_tradnl"/>
        </w:rPr>
        <w:t>Gazprom</w:t>
      </w:r>
      <w:proofErr w:type="spellEnd"/>
      <w:r w:rsidRPr="007C5FA9">
        <w:rPr>
          <w:b/>
          <w:szCs w:val="24"/>
          <w:lang w:val="es-ES_tradnl"/>
        </w:rPr>
        <w:t xml:space="preserve"> aumentará el envío de gas a Europa en un 13% en 2012, </w:t>
      </w:r>
      <w:r w:rsidRPr="00940658">
        <w:rPr>
          <w:szCs w:val="24"/>
          <w:lang w:val="es-ES_tradnl"/>
        </w:rPr>
        <w:t xml:space="preserve">tras el acuerdo firmado con Bielorrusia. </w:t>
      </w:r>
      <w:r>
        <w:rPr>
          <w:szCs w:val="24"/>
          <w:lang w:val="es-ES_tradnl"/>
        </w:rPr>
        <w:t>Se</w:t>
      </w:r>
      <w:r w:rsidRPr="00940658">
        <w:rPr>
          <w:szCs w:val="24"/>
          <w:lang w:val="es-ES_tradnl"/>
        </w:rPr>
        <w:t xml:space="preserve"> enviarán vía Bielorrusia casi 3</w:t>
      </w:r>
      <w:r>
        <w:rPr>
          <w:szCs w:val="24"/>
          <w:lang w:val="es-ES_tradnl"/>
        </w:rPr>
        <w:t>,</w:t>
      </w:r>
      <w:r w:rsidRPr="00940658">
        <w:rPr>
          <w:szCs w:val="24"/>
          <w:lang w:val="es-ES_tradnl"/>
        </w:rPr>
        <w:t>5</w:t>
      </w:r>
      <w:r w:rsidR="00DF4F41">
        <w:rPr>
          <w:szCs w:val="24"/>
          <w:lang w:val="es-ES_tradnl"/>
        </w:rPr>
        <w:t xml:space="preserve"> </w:t>
      </w:r>
      <w:proofErr w:type="spellStart"/>
      <w:r w:rsidRPr="00940658">
        <w:rPr>
          <w:szCs w:val="24"/>
          <w:lang w:val="es-ES_tradnl"/>
        </w:rPr>
        <w:t>bcm</w:t>
      </w:r>
      <w:proofErr w:type="spellEnd"/>
      <w:r w:rsidRPr="00940658">
        <w:rPr>
          <w:szCs w:val="24"/>
          <w:lang w:val="es-ES_tradnl"/>
        </w:rPr>
        <w:t xml:space="preserve">. </w:t>
      </w:r>
      <w:r>
        <w:rPr>
          <w:szCs w:val="24"/>
          <w:lang w:val="es-ES_tradnl"/>
        </w:rPr>
        <w:t>E</w:t>
      </w:r>
      <w:r w:rsidRPr="00940658">
        <w:rPr>
          <w:szCs w:val="24"/>
          <w:lang w:val="es-ES_tradnl"/>
        </w:rPr>
        <w:t xml:space="preserve">n noviembre de 2011 ya había comenzado a enviar gas a Alemania a través del gasoducto </w:t>
      </w:r>
      <w:proofErr w:type="spellStart"/>
      <w:r w:rsidRPr="00940658">
        <w:rPr>
          <w:szCs w:val="24"/>
          <w:lang w:val="es-ES_tradnl"/>
        </w:rPr>
        <w:t>Nordstream</w:t>
      </w:r>
      <w:proofErr w:type="spellEnd"/>
      <w:r w:rsidRPr="00940658">
        <w:rPr>
          <w:szCs w:val="24"/>
          <w:lang w:val="es-ES_tradnl"/>
        </w:rPr>
        <w:t>. (EUPD 27.01)</w:t>
      </w:r>
    </w:p>
    <w:p w:rsidR="001853F8" w:rsidRPr="007C5FA9" w:rsidRDefault="007C5FA9" w:rsidP="001853F8">
      <w:pPr>
        <w:numPr>
          <w:ilvl w:val="0"/>
          <w:numId w:val="13"/>
        </w:numPr>
        <w:spacing w:before="100" w:beforeAutospacing="1" w:line="276" w:lineRule="auto"/>
        <w:ind w:left="284" w:hanging="284"/>
        <w:rPr>
          <w:b/>
          <w:lang w:val="es-ES_tradnl"/>
        </w:rPr>
      </w:pPr>
      <w:r>
        <w:rPr>
          <w:b/>
          <w:szCs w:val="24"/>
          <w:lang w:val="es-ES_tradnl"/>
        </w:rPr>
        <w:t xml:space="preserve">Portugal impone una subida máxima del 2,25% a sus tarifas de gas de último recurso, </w:t>
      </w:r>
      <w:r w:rsidRPr="0075593B">
        <w:rPr>
          <w:szCs w:val="24"/>
          <w:lang w:val="es-ES_tradnl"/>
        </w:rPr>
        <w:t>para el año 2012-2013. L</w:t>
      </w:r>
      <w:r>
        <w:rPr>
          <w:szCs w:val="24"/>
          <w:lang w:val="es-ES_tradnl"/>
        </w:rPr>
        <w:t>as</w:t>
      </w:r>
      <w:r w:rsidRPr="0075593B">
        <w:rPr>
          <w:szCs w:val="24"/>
          <w:lang w:val="es-ES_tradnl"/>
        </w:rPr>
        <w:t xml:space="preserve"> tarifas finales se publicarán en junio. (EUPD 07.02)</w:t>
      </w:r>
    </w:p>
    <w:p w:rsidR="007C5FA9" w:rsidRPr="007C5FA9" w:rsidRDefault="007C5FA9" w:rsidP="007C5FA9">
      <w:pPr>
        <w:numPr>
          <w:ilvl w:val="0"/>
          <w:numId w:val="13"/>
        </w:numPr>
        <w:spacing w:before="100" w:beforeAutospacing="1" w:line="276" w:lineRule="auto"/>
        <w:ind w:left="284" w:hanging="284"/>
        <w:rPr>
          <w:b/>
          <w:lang w:val="es-ES_tradnl"/>
        </w:rPr>
      </w:pPr>
      <w:r w:rsidRPr="007B6BFB">
        <w:rPr>
          <w:b/>
          <w:szCs w:val="24"/>
          <w:lang w:val="es-ES_tradnl"/>
        </w:rPr>
        <w:t>Para noviembre de 2015 habrá un nuevo gasoducto entre Francia y Bélgica, que ofrecerá capacidad firme de hasta 12</w:t>
      </w:r>
      <w:r w:rsidR="00DF4F41">
        <w:rPr>
          <w:b/>
          <w:szCs w:val="24"/>
          <w:lang w:val="es-ES_tradnl"/>
        </w:rPr>
        <w:t xml:space="preserve"> </w:t>
      </w:r>
      <w:proofErr w:type="spellStart"/>
      <w:r w:rsidRPr="007B6BFB">
        <w:rPr>
          <w:b/>
          <w:szCs w:val="24"/>
          <w:lang w:val="es-ES_tradnl"/>
        </w:rPr>
        <w:t>bcm</w:t>
      </w:r>
      <w:proofErr w:type="spellEnd"/>
      <w:r w:rsidRPr="007B6BFB">
        <w:rPr>
          <w:b/>
          <w:szCs w:val="24"/>
          <w:lang w:val="es-ES_tradnl"/>
        </w:rPr>
        <w:t xml:space="preserve">/año. </w:t>
      </w:r>
      <w:r w:rsidRPr="007B6BFB">
        <w:rPr>
          <w:szCs w:val="24"/>
          <w:lang w:val="es-ES_tradnl"/>
        </w:rPr>
        <w:t xml:space="preserve">Actualmente sólo se puede contratar capacidad de transporte firme </w:t>
      </w:r>
      <w:r>
        <w:rPr>
          <w:szCs w:val="24"/>
          <w:lang w:val="es-ES_tradnl"/>
        </w:rPr>
        <w:t xml:space="preserve">en el sentido de </w:t>
      </w:r>
      <w:r w:rsidRPr="007B6BFB">
        <w:rPr>
          <w:szCs w:val="24"/>
          <w:lang w:val="es-ES_tradnl"/>
        </w:rPr>
        <w:t>Bélgica a Francia, con lo que el nuevo gasoducto servirá para aumentar la seguridad de suministro en ambos países. (EUE 13.01).</w:t>
      </w:r>
    </w:p>
    <w:p w:rsidR="000322F5" w:rsidRDefault="000322F5" w:rsidP="00600C49">
      <w:pPr>
        <w:pStyle w:val="Ttulo3"/>
        <w:rPr>
          <w:lang w:val="es-ES_tradnl"/>
        </w:rPr>
      </w:pPr>
      <w:r>
        <w:rPr>
          <w:lang w:val="es-ES_tradnl"/>
        </w:rPr>
        <w:t>Norteamérica – Renovables y Medio Ambiente</w:t>
      </w:r>
    </w:p>
    <w:p w:rsidR="001853F8" w:rsidRPr="00424D21" w:rsidRDefault="007C5FA9" w:rsidP="00424D21">
      <w:pPr>
        <w:numPr>
          <w:ilvl w:val="0"/>
          <w:numId w:val="10"/>
        </w:numPr>
        <w:spacing w:before="100" w:beforeAutospacing="1" w:line="276" w:lineRule="auto"/>
        <w:ind w:left="284" w:hanging="284"/>
        <w:rPr>
          <w:rFonts w:asciiTheme="minorHAnsi" w:hAnsiTheme="minorHAnsi" w:cs="Arial"/>
        </w:rPr>
      </w:pPr>
      <w:r w:rsidRPr="00F22336">
        <w:rPr>
          <w:rFonts w:cs="Arial"/>
          <w:b/>
          <w:szCs w:val="24"/>
        </w:rPr>
        <w:t xml:space="preserve">La </w:t>
      </w:r>
      <w:r>
        <w:rPr>
          <w:rFonts w:cs="Arial"/>
          <w:b/>
          <w:szCs w:val="24"/>
        </w:rPr>
        <w:t>EPA (</w:t>
      </w:r>
      <w:proofErr w:type="spellStart"/>
      <w:r>
        <w:rPr>
          <w:rFonts w:cs="Arial"/>
          <w:b/>
          <w:szCs w:val="24"/>
        </w:rPr>
        <w:t>Environmental</w:t>
      </w:r>
      <w:proofErr w:type="spellEnd"/>
      <w:r>
        <w:rPr>
          <w:rFonts w:cs="Arial"/>
          <w:b/>
          <w:szCs w:val="24"/>
        </w:rPr>
        <w:t xml:space="preserve"> </w:t>
      </w:r>
      <w:proofErr w:type="spellStart"/>
      <w:r>
        <w:rPr>
          <w:rFonts w:cs="Arial"/>
          <w:b/>
          <w:szCs w:val="24"/>
        </w:rPr>
        <w:t>Protection</w:t>
      </w:r>
      <w:proofErr w:type="spellEnd"/>
      <w:r>
        <w:rPr>
          <w:rFonts w:cs="Arial"/>
          <w:b/>
          <w:szCs w:val="24"/>
        </w:rPr>
        <w:t xml:space="preserve"> </w:t>
      </w:r>
      <w:proofErr w:type="spellStart"/>
      <w:r>
        <w:rPr>
          <w:rFonts w:cs="Arial"/>
          <w:b/>
          <w:szCs w:val="24"/>
        </w:rPr>
        <w:t>Agency</w:t>
      </w:r>
      <w:proofErr w:type="spellEnd"/>
      <w:r>
        <w:rPr>
          <w:rFonts w:cs="Arial"/>
          <w:b/>
          <w:szCs w:val="24"/>
        </w:rPr>
        <w:t xml:space="preserve">) hace </w:t>
      </w:r>
      <w:r w:rsidRPr="00DF4F41">
        <w:rPr>
          <w:rFonts w:asciiTheme="minorHAnsi" w:hAnsiTheme="minorHAnsi" w:cs="Arial"/>
          <w:b/>
          <w:szCs w:val="24"/>
        </w:rPr>
        <w:t xml:space="preserve">público un </w:t>
      </w:r>
      <w:hyperlink r:id="rId13" w:history="1">
        <w:r w:rsidRPr="00DF4F41">
          <w:rPr>
            <w:rStyle w:val="Hipervnculo"/>
            <w:rFonts w:asciiTheme="minorHAnsi" w:hAnsiTheme="minorHAnsi" w:cs="Arial"/>
            <w:b/>
            <w:szCs w:val="24"/>
          </w:rPr>
          <w:t>mapa</w:t>
        </w:r>
      </w:hyperlink>
      <w:r w:rsidRPr="00DF4F41">
        <w:rPr>
          <w:rFonts w:asciiTheme="minorHAnsi" w:hAnsiTheme="minorHAnsi" w:cs="Arial"/>
          <w:b/>
          <w:szCs w:val="24"/>
        </w:rPr>
        <w:t xml:space="preserve"> con</w:t>
      </w:r>
      <w:r>
        <w:rPr>
          <w:rFonts w:cs="Arial"/>
          <w:b/>
          <w:szCs w:val="24"/>
        </w:rPr>
        <w:t xml:space="preserve"> los mayores emisores de GEI de EEUU: </w:t>
      </w:r>
      <w:r w:rsidRPr="00770C17">
        <w:rPr>
          <w:rFonts w:cs="Arial"/>
          <w:szCs w:val="24"/>
        </w:rPr>
        <w:t>en el 2008 se aprobó una legislación que obligaba a los mayores emisores a proporcionar información concreta sobre sus emisiones. Los datos muestran que las centrales eléctricas son responsables del 7</w:t>
      </w:r>
      <w:r>
        <w:rPr>
          <w:rFonts w:cs="Arial"/>
          <w:szCs w:val="24"/>
        </w:rPr>
        <w:t>2,</w:t>
      </w:r>
      <w:r w:rsidRPr="00770C17">
        <w:rPr>
          <w:rFonts w:cs="Arial"/>
          <w:szCs w:val="24"/>
        </w:rPr>
        <w:t>3% de las emisiones, aunque en es</w:t>
      </w:r>
      <w:r>
        <w:rPr>
          <w:rFonts w:cs="Arial"/>
          <w:szCs w:val="24"/>
        </w:rPr>
        <w:t>t</w:t>
      </w:r>
      <w:r w:rsidR="004D1E88">
        <w:rPr>
          <w:rFonts w:cs="Arial"/>
          <w:szCs w:val="24"/>
        </w:rPr>
        <w:t>e registro no se incluyen (NY T</w:t>
      </w:r>
      <w:r w:rsidRPr="00770C17">
        <w:rPr>
          <w:rFonts w:cs="Arial"/>
          <w:szCs w:val="24"/>
        </w:rPr>
        <w:t>imes 11.01)</w:t>
      </w:r>
    </w:p>
    <w:p w:rsidR="007C5FA9" w:rsidRPr="007C5FA9" w:rsidRDefault="007C5FA9" w:rsidP="00424D21">
      <w:pPr>
        <w:numPr>
          <w:ilvl w:val="0"/>
          <w:numId w:val="10"/>
        </w:numPr>
        <w:spacing w:before="100" w:beforeAutospacing="1" w:line="276" w:lineRule="auto"/>
        <w:ind w:left="284" w:hanging="284"/>
        <w:rPr>
          <w:rFonts w:asciiTheme="minorHAnsi" w:hAnsiTheme="minorHAnsi" w:cs="Arial"/>
        </w:rPr>
      </w:pPr>
      <w:r w:rsidRPr="007C5FA9">
        <w:rPr>
          <w:rFonts w:cs="Arial"/>
          <w:b/>
          <w:szCs w:val="24"/>
        </w:rPr>
        <w:t>La EPA analizará el impacto (positivo y negativo) de su regulación sobre el sector energético.</w:t>
      </w:r>
      <w:r w:rsidR="001853F8" w:rsidRPr="007C5FA9">
        <w:rPr>
          <w:rFonts w:asciiTheme="minorHAnsi" w:hAnsiTheme="minorHAnsi" w:cs="Arial"/>
          <w:b/>
        </w:rPr>
        <w:t xml:space="preserve"> </w:t>
      </w:r>
      <w:r w:rsidRPr="000C25F8">
        <w:rPr>
          <w:rFonts w:cs="Arial"/>
          <w:szCs w:val="24"/>
        </w:rPr>
        <w:t xml:space="preserve">Las propuestas de la EPA sobre los estándares de emisiones de GEI para centrales nuevas y renovadas se publicará a finales de enero. </w:t>
      </w:r>
      <w:r>
        <w:rPr>
          <w:rFonts w:cs="Arial"/>
          <w:szCs w:val="24"/>
        </w:rPr>
        <w:t>El análisis de impacto servirá además para dar mayor certidumbre a las inversiones. (</w:t>
      </w:r>
      <w:r w:rsidRPr="000C25F8">
        <w:rPr>
          <w:rFonts w:cs="Arial"/>
          <w:szCs w:val="24"/>
        </w:rPr>
        <w:t>EPD 20.01)</w:t>
      </w:r>
    </w:p>
    <w:p w:rsidR="001853F8" w:rsidRPr="007C5FA9" w:rsidRDefault="007C5FA9" w:rsidP="00424D21">
      <w:pPr>
        <w:numPr>
          <w:ilvl w:val="0"/>
          <w:numId w:val="10"/>
        </w:numPr>
        <w:spacing w:before="100" w:beforeAutospacing="1" w:line="276" w:lineRule="auto"/>
        <w:ind w:left="284" w:hanging="284"/>
        <w:rPr>
          <w:rFonts w:asciiTheme="minorHAnsi" w:hAnsiTheme="minorHAnsi" w:cs="Arial"/>
        </w:rPr>
      </w:pPr>
      <w:r>
        <w:rPr>
          <w:rFonts w:cs="Arial"/>
          <w:b/>
          <w:szCs w:val="24"/>
        </w:rPr>
        <w:t xml:space="preserve">California y Quebec trabajan para realizar una subasta conjunta de permisos de emisión </w:t>
      </w:r>
      <w:r w:rsidRPr="00990361">
        <w:rPr>
          <w:rFonts w:cs="Arial"/>
          <w:szCs w:val="24"/>
        </w:rPr>
        <w:t xml:space="preserve">que se engloba dentro del programa </w:t>
      </w:r>
      <w:proofErr w:type="spellStart"/>
      <w:r w:rsidRPr="00990361">
        <w:rPr>
          <w:rFonts w:cs="Arial"/>
          <w:i/>
          <w:szCs w:val="24"/>
        </w:rPr>
        <w:t>cap</w:t>
      </w:r>
      <w:proofErr w:type="spellEnd"/>
      <w:r w:rsidRPr="00990361">
        <w:rPr>
          <w:rFonts w:cs="Arial"/>
          <w:i/>
          <w:szCs w:val="24"/>
        </w:rPr>
        <w:t xml:space="preserve"> and </w:t>
      </w:r>
      <w:proofErr w:type="spellStart"/>
      <w:r w:rsidRPr="00990361">
        <w:rPr>
          <w:rFonts w:cs="Arial"/>
          <w:i/>
          <w:szCs w:val="24"/>
        </w:rPr>
        <w:t>trade</w:t>
      </w:r>
      <w:proofErr w:type="spellEnd"/>
      <w:r w:rsidRPr="00990361">
        <w:rPr>
          <w:rFonts w:cs="Arial"/>
          <w:szCs w:val="24"/>
        </w:rPr>
        <w:t>, que entrará en vigor en 2013. Se espera que se realice la primera subasta en agosto de 2012 y que se vayan uniendo el resto de los miembros de WCI. (EPD 13.01)</w:t>
      </w:r>
      <w:r w:rsidR="001853F8" w:rsidRPr="007C5FA9">
        <w:rPr>
          <w:rFonts w:asciiTheme="minorHAnsi" w:hAnsiTheme="minorHAnsi" w:cs="Arial"/>
        </w:rPr>
        <w:t xml:space="preserve"> </w:t>
      </w:r>
    </w:p>
    <w:p w:rsidR="001853F8" w:rsidRPr="00424D21" w:rsidRDefault="007C5FA9" w:rsidP="00424D21">
      <w:pPr>
        <w:numPr>
          <w:ilvl w:val="0"/>
          <w:numId w:val="10"/>
        </w:numPr>
        <w:spacing w:before="100" w:beforeAutospacing="1" w:line="276" w:lineRule="auto"/>
        <w:ind w:left="284" w:hanging="284"/>
        <w:rPr>
          <w:rFonts w:asciiTheme="minorHAnsi" w:hAnsiTheme="minorHAnsi" w:cs="Arial"/>
        </w:rPr>
      </w:pPr>
      <w:r>
        <w:rPr>
          <w:rFonts w:cs="Arial"/>
          <w:b/>
          <w:szCs w:val="24"/>
        </w:rPr>
        <w:t>A pesar de los bajos precios del gas</w:t>
      </w:r>
      <w:r w:rsidRPr="00EA2355">
        <w:rPr>
          <w:szCs w:val="24"/>
        </w:rPr>
        <w:t xml:space="preserve"> </w:t>
      </w:r>
      <w:r>
        <w:rPr>
          <w:szCs w:val="24"/>
        </w:rPr>
        <w:t>(</w:t>
      </w:r>
      <w:r w:rsidRPr="005C1C2A">
        <w:rPr>
          <w:szCs w:val="24"/>
        </w:rPr>
        <w:t>los precios han caído un 50% desde 2008</w:t>
      </w:r>
      <w:r>
        <w:rPr>
          <w:szCs w:val="24"/>
        </w:rPr>
        <w:t>)</w:t>
      </w:r>
      <w:r>
        <w:rPr>
          <w:rFonts w:cs="Arial"/>
          <w:b/>
          <w:szCs w:val="24"/>
        </w:rPr>
        <w:t xml:space="preserve">, Illinois sigue impulsando las renovables. </w:t>
      </w:r>
      <w:r w:rsidRPr="00460725">
        <w:rPr>
          <w:rFonts w:cs="Arial"/>
          <w:szCs w:val="24"/>
        </w:rPr>
        <w:t>Actualmente tiene 2.000</w:t>
      </w:r>
      <w:r w:rsidR="00DF4F41">
        <w:rPr>
          <w:rFonts w:cs="Arial"/>
          <w:szCs w:val="24"/>
        </w:rPr>
        <w:t xml:space="preserve"> </w:t>
      </w:r>
      <w:r w:rsidRPr="00460725">
        <w:rPr>
          <w:rFonts w:cs="Arial"/>
          <w:szCs w:val="24"/>
        </w:rPr>
        <w:t>MW eólicos instalados y numerosos proyectos  en construcción, y su RPS establece que el 25 % de su energía provenga de renovables en 2025. De ese 25% el 75% debe provenir de eólica y el 6% de solar fotovoltaica. (EPD 24.01)</w:t>
      </w:r>
      <w:r w:rsidR="001853F8" w:rsidRPr="00424D21">
        <w:rPr>
          <w:rFonts w:asciiTheme="minorHAnsi" w:hAnsiTheme="minorHAnsi" w:cs="Arial"/>
        </w:rPr>
        <w:t xml:space="preserve"> </w:t>
      </w:r>
    </w:p>
    <w:p w:rsidR="007C5FA9" w:rsidRPr="007C5FA9" w:rsidRDefault="007C5FA9" w:rsidP="001853F8">
      <w:pPr>
        <w:numPr>
          <w:ilvl w:val="0"/>
          <w:numId w:val="10"/>
        </w:numPr>
        <w:spacing w:before="100" w:beforeAutospacing="1" w:line="276" w:lineRule="auto"/>
        <w:ind w:left="284" w:hanging="284"/>
        <w:rPr>
          <w:rFonts w:asciiTheme="minorHAnsi" w:hAnsiTheme="minorHAnsi" w:cs="Arial"/>
          <w:b/>
        </w:rPr>
      </w:pPr>
      <w:r w:rsidRPr="007C5FA9">
        <w:rPr>
          <w:rFonts w:cs="Arial"/>
          <w:b/>
          <w:szCs w:val="24"/>
        </w:rPr>
        <w:t xml:space="preserve">El DOE ofrece ayudas para desarrollar proyectos de eólica offshore: </w:t>
      </w:r>
      <w:r w:rsidRPr="002432EB">
        <w:rPr>
          <w:rFonts w:cs="Arial"/>
          <w:szCs w:val="24"/>
        </w:rPr>
        <w:t xml:space="preserve">con el objetivo </w:t>
      </w:r>
      <w:r>
        <w:rPr>
          <w:rFonts w:cs="Arial"/>
          <w:szCs w:val="24"/>
        </w:rPr>
        <w:t>de</w:t>
      </w:r>
      <w:r w:rsidRPr="002432EB">
        <w:rPr>
          <w:rFonts w:cs="Arial"/>
          <w:szCs w:val="24"/>
        </w:rPr>
        <w:t xml:space="preserve"> impulsar el desarrollo de proyectos innovadores de eólica offshore que tengan un gran potencial para reducir los costes de generación de esa tecnología. El DOE quiere que al final de esta década los costes de la offshore sean de 10 </w:t>
      </w:r>
      <w:proofErr w:type="spellStart"/>
      <w:r w:rsidRPr="002432EB">
        <w:rPr>
          <w:rFonts w:cs="Arial"/>
          <w:szCs w:val="24"/>
        </w:rPr>
        <w:t>cent</w:t>
      </w:r>
      <w:r w:rsidR="00DF4F41" w:rsidRPr="002432EB">
        <w:rPr>
          <w:rFonts w:cs="Arial"/>
          <w:szCs w:val="24"/>
        </w:rPr>
        <w:t>USD</w:t>
      </w:r>
      <w:proofErr w:type="spellEnd"/>
      <w:r w:rsidRPr="002432EB">
        <w:rPr>
          <w:rFonts w:cs="Arial"/>
          <w:szCs w:val="24"/>
        </w:rPr>
        <w:t>/kWh.(EPD 02.02)</w:t>
      </w:r>
    </w:p>
    <w:p w:rsidR="001853F8" w:rsidRDefault="007C5FA9" w:rsidP="001853F8">
      <w:pPr>
        <w:numPr>
          <w:ilvl w:val="0"/>
          <w:numId w:val="10"/>
        </w:numPr>
        <w:spacing w:before="100" w:beforeAutospacing="1" w:line="276" w:lineRule="auto"/>
        <w:ind w:left="284" w:hanging="284"/>
        <w:rPr>
          <w:rFonts w:asciiTheme="minorHAnsi" w:hAnsiTheme="minorHAnsi" w:cs="Arial"/>
          <w:b/>
        </w:rPr>
      </w:pPr>
      <w:r>
        <w:rPr>
          <w:rFonts w:cs="Arial"/>
          <w:b/>
          <w:szCs w:val="24"/>
        </w:rPr>
        <w:t xml:space="preserve">La BPA introduce in programa piloto de planificación </w:t>
      </w:r>
      <w:proofErr w:type="spellStart"/>
      <w:r>
        <w:rPr>
          <w:rFonts w:cs="Arial"/>
          <w:b/>
          <w:szCs w:val="24"/>
        </w:rPr>
        <w:t>intrahoraria</w:t>
      </w:r>
      <w:proofErr w:type="spellEnd"/>
      <w:r>
        <w:rPr>
          <w:rFonts w:cs="Arial"/>
          <w:b/>
          <w:szCs w:val="24"/>
        </w:rPr>
        <w:t xml:space="preserve"> con el objetivo de mejorar la disponibilidad de la red ante la generación eólica variable: </w:t>
      </w:r>
      <w:r w:rsidRPr="00F315EE">
        <w:rPr>
          <w:rFonts w:cs="Arial"/>
          <w:szCs w:val="24"/>
        </w:rPr>
        <w:t>una mayor frecuencia en la programación de eólica ayudará a equilibrar la generación con los recursos no variables permitiendo una mejor gestión de la red. (EPD 06.02)</w:t>
      </w:r>
      <w:r>
        <w:rPr>
          <w:rFonts w:cs="Arial"/>
          <w:szCs w:val="24"/>
        </w:rPr>
        <w:t>.</w:t>
      </w:r>
      <w:r w:rsidR="001853F8" w:rsidRPr="007C5FA9">
        <w:rPr>
          <w:rFonts w:asciiTheme="minorHAnsi" w:hAnsiTheme="minorHAnsi" w:cs="Arial"/>
          <w:b/>
        </w:rPr>
        <w:t xml:space="preserve"> </w:t>
      </w:r>
    </w:p>
    <w:p w:rsidR="007C5FA9" w:rsidRPr="007C5FA9" w:rsidRDefault="007C5FA9" w:rsidP="001853F8">
      <w:pPr>
        <w:numPr>
          <w:ilvl w:val="0"/>
          <w:numId w:val="10"/>
        </w:numPr>
        <w:spacing w:before="100" w:beforeAutospacing="1" w:line="276" w:lineRule="auto"/>
        <w:ind w:left="284" w:hanging="284"/>
        <w:rPr>
          <w:rFonts w:asciiTheme="minorHAnsi" w:hAnsiTheme="minorHAnsi" w:cs="Arial"/>
          <w:b/>
        </w:rPr>
      </w:pPr>
      <w:r w:rsidRPr="007C5FA9">
        <w:rPr>
          <w:rFonts w:cs="Arial"/>
          <w:b/>
          <w:szCs w:val="24"/>
        </w:rPr>
        <w:t xml:space="preserve">BPA, ante las resoluciones federales en apoyo de los críticos contra los procedimientos aplicados de gestión de los vertidos, propone pagar a los productores de eólica a los que impida generar en situación de exceso de suministro: </w:t>
      </w:r>
      <w:r w:rsidRPr="00E44E2C">
        <w:rPr>
          <w:rFonts w:cs="Arial"/>
          <w:szCs w:val="24"/>
        </w:rPr>
        <w:t>según el borrador presentado, BPA pagaría a los productores una compensación por los ingresos que obtendrían de generar energía, incluyendo los PTC, los REC e ingresos por los PPA. Esto evitaría que BPA soltara agua de los embalses con el consiguiente daño medioambiental para flora y fauna. (EPD 08.02)</w:t>
      </w:r>
    </w:p>
    <w:p w:rsidR="007C5FA9" w:rsidRPr="007C5FA9" w:rsidRDefault="007C5FA9" w:rsidP="007C5FA9">
      <w:pPr>
        <w:numPr>
          <w:ilvl w:val="0"/>
          <w:numId w:val="10"/>
        </w:numPr>
        <w:spacing w:before="100" w:beforeAutospacing="1" w:line="276" w:lineRule="auto"/>
        <w:ind w:left="284" w:hanging="284"/>
        <w:rPr>
          <w:rFonts w:asciiTheme="minorHAnsi" w:hAnsiTheme="minorHAnsi" w:cs="Arial"/>
          <w:b/>
        </w:rPr>
      </w:pPr>
      <w:r w:rsidRPr="007C5FA9">
        <w:rPr>
          <w:rFonts w:cs="Arial"/>
          <w:b/>
          <w:szCs w:val="24"/>
        </w:rPr>
        <w:t>El DOE creará un documento de “visión nacional” con el objetivo de implementar los objetivos de energías limpias y de infraestructuras propuestas por el presidente Obama.</w:t>
      </w:r>
      <w:r w:rsidRPr="007C5FA9">
        <w:rPr>
          <w:szCs w:val="24"/>
        </w:rPr>
        <w:t xml:space="preserve"> </w:t>
      </w:r>
      <w:r>
        <w:rPr>
          <w:szCs w:val="24"/>
        </w:rPr>
        <w:t>El esfuerzo se centrará en crear las infraestructuras y tecnologías necesarias para mantener la competitividad. En el futuro se debe hacer frente a cambios en el mix energético, en los patrones de consumo, en un aumento de la complejidad de la red, además de los temas relacionados con la vulnerabilidad e interdependencia del sistema. (EPD 13.02)</w:t>
      </w:r>
    </w:p>
    <w:p w:rsidR="007C5FA9" w:rsidRPr="007C5FA9" w:rsidRDefault="007C5FA9" w:rsidP="007C5FA9">
      <w:pPr>
        <w:numPr>
          <w:ilvl w:val="0"/>
          <w:numId w:val="10"/>
        </w:numPr>
        <w:spacing w:before="100" w:beforeAutospacing="1" w:line="276" w:lineRule="auto"/>
        <w:ind w:left="284" w:hanging="284"/>
        <w:rPr>
          <w:rFonts w:asciiTheme="minorHAnsi" w:hAnsiTheme="minorHAnsi" w:cs="Arial"/>
          <w:b/>
        </w:rPr>
      </w:pPr>
      <w:r>
        <w:rPr>
          <w:rFonts w:cs="Arial"/>
          <w:b/>
          <w:szCs w:val="24"/>
        </w:rPr>
        <w:t>Según la Comisión de Comercio internacional estadounidense, las turbinas eólicas “de bajo coste” de Vietnam y China están dañando el sector:</w:t>
      </w:r>
      <w:r>
        <w:rPr>
          <w:szCs w:val="24"/>
        </w:rPr>
        <w:t xml:space="preserve"> las empresas manufactureras del sector acusan a su competencia de China y Vietnam el estar recibiendo subsidios ilegales, lo que les permite vender sus productos a un precio inferior al de mercado. De ser así se tomarán medidas para neutralizar los efectos de los subsidios ilegales. (EPD 13.02). </w:t>
      </w:r>
    </w:p>
    <w:p w:rsidR="007C5FA9" w:rsidRPr="007C5FA9" w:rsidRDefault="007C5FA9" w:rsidP="007C5FA9">
      <w:pPr>
        <w:numPr>
          <w:ilvl w:val="0"/>
          <w:numId w:val="10"/>
        </w:numPr>
        <w:spacing w:before="100" w:beforeAutospacing="1" w:line="276" w:lineRule="auto"/>
        <w:ind w:left="284" w:hanging="284"/>
        <w:rPr>
          <w:rFonts w:asciiTheme="minorHAnsi" w:hAnsiTheme="minorHAnsi" w:cs="Arial"/>
          <w:b/>
        </w:rPr>
      </w:pPr>
      <w:r w:rsidRPr="00D07B71">
        <w:rPr>
          <w:rFonts w:cs="Arial"/>
          <w:b/>
          <w:szCs w:val="24"/>
        </w:rPr>
        <w:t xml:space="preserve">Cal ISO está </w:t>
      </w:r>
      <w:hyperlink r:id="rId14" w:history="1">
        <w:r w:rsidRPr="00BC426E">
          <w:rPr>
            <w:rStyle w:val="Hipervnculo"/>
            <w:rFonts w:asciiTheme="minorHAnsi" w:hAnsiTheme="minorHAnsi" w:cs="Arial"/>
            <w:b/>
            <w:szCs w:val="24"/>
          </w:rPr>
          <w:t>estudiando</w:t>
        </w:r>
      </w:hyperlink>
      <w:r w:rsidRPr="00BC426E">
        <w:rPr>
          <w:rFonts w:asciiTheme="minorHAnsi" w:hAnsiTheme="minorHAnsi" w:cs="Arial"/>
          <w:b/>
          <w:szCs w:val="24"/>
        </w:rPr>
        <w:t xml:space="preserve"> el impacto</w:t>
      </w:r>
      <w:r w:rsidRPr="00D07B71">
        <w:rPr>
          <w:rFonts w:cs="Arial"/>
          <w:b/>
          <w:szCs w:val="24"/>
        </w:rPr>
        <w:t xml:space="preserve"> que supone el cumplimiento del programa de comercio de emisiones del estado en los costes variables de las unidades de generación.</w:t>
      </w:r>
      <w:r>
        <w:rPr>
          <w:rFonts w:cs="Arial"/>
          <w:b/>
          <w:szCs w:val="24"/>
        </w:rPr>
        <w:t xml:space="preserve"> </w:t>
      </w:r>
      <w:r w:rsidR="00BC426E" w:rsidRPr="00D07B71">
        <w:rPr>
          <w:rFonts w:cs="StoneSerifStd-Medium"/>
          <w:szCs w:val="24"/>
        </w:rPr>
        <w:t>E</w:t>
      </w:r>
      <w:r w:rsidR="00BC426E">
        <w:rPr>
          <w:rFonts w:cs="StoneSerifStd-Medium"/>
          <w:szCs w:val="24"/>
        </w:rPr>
        <w:t>l</w:t>
      </w:r>
      <w:r w:rsidR="00BC426E" w:rsidRPr="00D07B71">
        <w:rPr>
          <w:rFonts w:cs="StoneSerifStd-Medium"/>
          <w:szCs w:val="24"/>
        </w:rPr>
        <w:t xml:space="preserve"> programa de comercio de emisiones obliga a los generadores a comprar derechos de CO</w:t>
      </w:r>
      <w:r w:rsidR="00BC426E" w:rsidRPr="00C64DB5">
        <w:rPr>
          <w:rFonts w:cs="StoneSerifStd-Medium"/>
          <w:szCs w:val="24"/>
          <w:vertAlign w:val="subscript"/>
        </w:rPr>
        <w:t>2</w:t>
      </w:r>
      <w:r w:rsidR="00BC426E" w:rsidRPr="00D07B71">
        <w:rPr>
          <w:rFonts w:cs="StoneSerifStd-Medium"/>
          <w:szCs w:val="24"/>
        </w:rPr>
        <w:t xml:space="preserve"> a partir de 2013.</w:t>
      </w:r>
      <w:r w:rsidR="00BC426E">
        <w:rPr>
          <w:rFonts w:cs="StoneSerifStd-Medium"/>
          <w:szCs w:val="24"/>
        </w:rPr>
        <w:t xml:space="preserve"> (EPD 14.02)</w:t>
      </w:r>
    </w:p>
    <w:p w:rsidR="007C5FA9" w:rsidRPr="007C5FA9" w:rsidRDefault="00BC426E" w:rsidP="007C5FA9">
      <w:pPr>
        <w:numPr>
          <w:ilvl w:val="0"/>
          <w:numId w:val="10"/>
        </w:numPr>
        <w:spacing w:before="100" w:beforeAutospacing="1" w:line="276" w:lineRule="auto"/>
        <w:ind w:left="284" w:hanging="284"/>
        <w:rPr>
          <w:rFonts w:asciiTheme="minorHAnsi" w:hAnsiTheme="minorHAnsi" w:cs="Arial"/>
          <w:b/>
        </w:rPr>
      </w:pPr>
      <w:r w:rsidRPr="00CB409F">
        <w:rPr>
          <w:b/>
          <w:szCs w:val="24"/>
        </w:rPr>
        <w:t>El gobernador de New Jersey desvía 210 millones de USD del presupuesto para proyectos de eficiencia energética y energías renovables de la  BPU</w:t>
      </w:r>
      <w:r w:rsidRPr="000C4D76">
        <w:rPr>
          <w:szCs w:val="24"/>
        </w:rPr>
        <w:t xml:space="preserve"> </w:t>
      </w:r>
      <w:r>
        <w:rPr>
          <w:szCs w:val="24"/>
        </w:rPr>
        <w:t>para reducir el déficit del estado. (EUW 27.02)</w:t>
      </w:r>
      <w:r w:rsidRPr="000C4D76">
        <w:rPr>
          <w:szCs w:val="24"/>
        </w:rPr>
        <w:t xml:space="preserve"> </w:t>
      </w:r>
    </w:p>
    <w:p w:rsidR="000322F5" w:rsidRPr="000E1CC6" w:rsidRDefault="000322F5" w:rsidP="00600C49">
      <w:pPr>
        <w:pStyle w:val="Ttulo3"/>
      </w:pPr>
      <w:r w:rsidRPr="000E1CC6">
        <w:t xml:space="preserve">Norteamérica – </w:t>
      </w:r>
      <w:r w:rsidR="00BC426E">
        <w:t>Tarifas, precios y protección al consumidor</w:t>
      </w:r>
    </w:p>
    <w:p w:rsidR="001853F8" w:rsidRPr="001853F8" w:rsidRDefault="00BC426E" w:rsidP="001853F8">
      <w:pPr>
        <w:numPr>
          <w:ilvl w:val="0"/>
          <w:numId w:val="10"/>
        </w:numPr>
        <w:spacing w:before="100" w:beforeAutospacing="1" w:line="276" w:lineRule="auto"/>
        <w:ind w:left="284" w:hanging="284"/>
        <w:rPr>
          <w:rFonts w:asciiTheme="minorHAnsi" w:hAnsiTheme="minorHAnsi" w:cs="Arial"/>
          <w:b/>
        </w:rPr>
      </w:pPr>
      <w:r>
        <w:rPr>
          <w:rFonts w:cs="Arial"/>
          <w:b/>
          <w:szCs w:val="24"/>
          <w:lang w:val="es-ES_tradnl"/>
        </w:rPr>
        <w:t xml:space="preserve">El DOE financiará a las empresas que desarrollen aplicaciones que ayuden a los consumidores a controlar y entender mejor su gasto energético. </w:t>
      </w:r>
      <w:r w:rsidRPr="007C7256">
        <w:rPr>
          <w:rFonts w:cs="Arial"/>
          <w:szCs w:val="24"/>
          <w:lang w:val="es-ES_tradnl"/>
        </w:rPr>
        <w:t>Entre las iniciativas a financiar se encuentra la iniciativa “</w:t>
      </w:r>
      <w:proofErr w:type="spellStart"/>
      <w:r w:rsidRPr="007C7256">
        <w:rPr>
          <w:rFonts w:cs="Arial"/>
          <w:i/>
          <w:szCs w:val="24"/>
          <w:lang w:val="es-ES_tradnl"/>
        </w:rPr>
        <w:t>green</w:t>
      </w:r>
      <w:proofErr w:type="spellEnd"/>
      <w:r w:rsidRPr="007C7256">
        <w:rPr>
          <w:rFonts w:cs="Arial"/>
          <w:i/>
          <w:szCs w:val="24"/>
          <w:lang w:val="es-ES_tradnl"/>
        </w:rPr>
        <w:t xml:space="preserve"> </w:t>
      </w:r>
      <w:proofErr w:type="spellStart"/>
      <w:r w:rsidRPr="007C7256">
        <w:rPr>
          <w:rFonts w:cs="Arial"/>
          <w:i/>
          <w:szCs w:val="24"/>
          <w:lang w:val="es-ES_tradnl"/>
        </w:rPr>
        <w:t>button</w:t>
      </w:r>
      <w:proofErr w:type="spellEnd"/>
      <w:r w:rsidRPr="007C7256">
        <w:rPr>
          <w:rFonts w:cs="Arial"/>
          <w:szCs w:val="24"/>
          <w:lang w:val="es-ES_tradnl"/>
        </w:rPr>
        <w:t>”  que se centrará en el control del gasto eléctrico. (</w:t>
      </w:r>
      <w:r>
        <w:rPr>
          <w:rFonts w:cs="Arial"/>
          <w:szCs w:val="24"/>
          <w:lang w:val="es-ES_tradnl"/>
        </w:rPr>
        <w:t>EPD 23.01</w:t>
      </w:r>
      <w:r w:rsidRPr="00F22336">
        <w:rPr>
          <w:rFonts w:cs="Arial"/>
          <w:szCs w:val="24"/>
        </w:rPr>
        <w:t>)</w:t>
      </w:r>
    </w:p>
    <w:p w:rsidR="001853F8" w:rsidRPr="001853F8" w:rsidRDefault="00BC426E" w:rsidP="001853F8">
      <w:pPr>
        <w:numPr>
          <w:ilvl w:val="0"/>
          <w:numId w:val="10"/>
        </w:numPr>
        <w:spacing w:before="100" w:beforeAutospacing="1" w:line="276" w:lineRule="auto"/>
        <w:ind w:left="284" w:hanging="284"/>
        <w:rPr>
          <w:rFonts w:asciiTheme="minorHAnsi" w:hAnsiTheme="minorHAnsi" w:cs="Arial"/>
        </w:rPr>
      </w:pPr>
      <w:r>
        <w:rPr>
          <w:rFonts w:cs="Arial"/>
          <w:b/>
          <w:szCs w:val="24"/>
          <w:lang w:val="es-ES_tradnl"/>
        </w:rPr>
        <w:t>Los precios de capacidad y energía en New Jersey podrían aumentar tras la retirada de 5.</w:t>
      </w:r>
      <w:r w:rsidRPr="00452E4F">
        <w:rPr>
          <w:rFonts w:cs="Arial"/>
          <w:b/>
          <w:szCs w:val="24"/>
        </w:rPr>
        <w:t>300</w:t>
      </w:r>
      <w:r w:rsidR="00625AFA">
        <w:rPr>
          <w:rFonts w:cs="Arial"/>
          <w:b/>
          <w:szCs w:val="24"/>
        </w:rPr>
        <w:t xml:space="preserve"> </w:t>
      </w:r>
      <w:r w:rsidRPr="00452E4F">
        <w:rPr>
          <w:rFonts w:cs="Arial"/>
          <w:b/>
          <w:szCs w:val="24"/>
        </w:rPr>
        <w:t>M</w:t>
      </w:r>
      <w:r>
        <w:rPr>
          <w:rFonts w:cs="Arial"/>
          <w:b/>
          <w:szCs w:val="24"/>
        </w:rPr>
        <w:t>W</w:t>
      </w:r>
      <w:r w:rsidRPr="00452E4F">
        <w:rPr>
          <w:rFonts w:cs="Arial"/>
          <w:b/>
          <w:szCs w:val="24"/>
        </w:rPr>
        <w:t xml:space="preserve"> de unidades punta en 2015.</w:t>
      </w:r>
      <w:r>
        <w:rPr>
          <w:rFonts w:cs="Arial"/>
          <w:szCs w:val="24"/>
        </w:rPr>
        <w:t xml:space="preserve"> Esta retirada de capacidad deberá ser sustituida con nueva capacidad, aunque se teme que la misma podría elevar los precios en las subastas de capacidad de la Interconexión de PJM. (EPD 10.02)</w:t>
      </w:r>
      <w:r w:rsidR="001853F8" w:rsidRPr="001853F8">
        <w:rPr>
          <w:rFonts w:asciiTheme="minorHAnsi" w:hAnsiTheme="minorHAnsi" w:cs="Arial"/>
        </w:rPr>
        <w:t xml:space="preserve"> </w:t>
      </w:r>
    </w:p>
    <w:p w:rsidR="000322F5" w:rsidRDefault="000322F5" w:rsidP="00600C49">
      <w:pPr>
        <w:pStyle w:val="Ttulo3"/>
        <w:rPr>
          <w:lang w:val="es-ES_tradnl"/>
        </w:rPr>
      </w:pPr>
      <w:r>
        <w:rPr>
          <w:lang w:val="es-ES_tradnl"/>
        </w:rPr>
        <w:t>Norteamérica – Redes y Garantía de suministro</w:t>
      </w:r>
    </w:p>
    <w:p w:rsidR="00AD737D" w:rsidRPr="00D66F22" w:rsidRDefault="00BC426E" w:rsidP="00AD737D">
      <w:pPr>
        <w:numPr>
          <w:ilvl w:val="0"/>
          <w:numId w:val="11"/>
        </w:numPr>
        <w:spacing w:before="100" w:beforeAutospacing="1" w:line="276" w:lineRule="auto"/>
        <w:ind w:left="284" w:hanging="284"/>
      </w:pPr>
      <w:r w:rsidRPr="005E2467">
        <w:rPr>
          <w:rFonts w:cs="Arial"/>
          <w:b/>
          <w:szCs w:val="24"/>
        </w:rPr>
        <w:t>El congreso estadounidense comenzará a trabajar sobre una ley de exploración energética</w:t>
      </w:r>
      <w:r>
        <w:rPr>
          <w:rFonts w:cs="Arial"/>
          <w:szCs w:val="24"/>
        </w:rPr>
        <w:t xml:space="preserve"> </w:t>
      </w:r>
      <w:proofErr w:type="spellStart"/>
      <w:r w:rsidRPr="007C7256">
        <w:rPr>
          <w:rFonts w:cs="Arial"/>
          <w:b/>
          <w:szCs w:val="24"/>
        </w:rPr>
        <w:t>onshore</w:t>
      </w:r>
      <w:proofErr w:type="spellEnd"/>
      <w:r w:rsidRPr="007C7256">
        <w:rPr>
          <w:rFonts w:cs="Arial"/>
          <w:b/>
          <w:szCs w:val="24"/>
        </w:rPr>
        <w:t xml:space="preserve"> y offshore a principios de 2012</w:t>
      </w:r>
      <w:r>
        <w:rPr>
          <w:rFonts w:cs="Arial"/>
          <w:szCs w:val="24"/>
        </w:rPr>
        <w:t>. Con la que se pretende ampliar la producción energética y dar prioridad a proyectos de infraestructuras. (EPD 10.01)</w:t>
      </w:r>
    </w:p>
    <w:p w:rsidR="00BC426E" w:rsidRPr="00BC426E" w:rsidRDefault="00BC426E" w:rsidP="00AD737D">
      <w:pPr>
        <w:numPr>
          <w:ilvl w:val="0"/>
          <w:numId w:val="11"/>
        </w:numPr>
        <w:spacing w:before="100" w:beforeAutospacing="1" w:line="276" w:lineRule="auto"/>
        <w:ind w:left="284" w:hanging="284"/>
      </w:pPr>
      <w:r w:rsidRPr="00BC426E">
        <w:rPr>
          <w:rFonts w:cs="Arial"/>
          <w:b/>
          <w:szCs w:val="24"/>
        </w:rPr>
        <w:t xml:space="preserve">La FERC aprueba las nuevas normas de PJM sobre el “arranque en frío”. </w:t>
      </w:r>
      <w:r w:rsidRPr="009A2F07">
        <w:rPr>
          <w:rFonts w:cs="Arial"/>
          <w:szCs w:val="24"/>
        </w:rPr>
        <w:t>Con los cambio</w:t>
      </w:r>
      <w:r>
        <w:rPr>
          <w:rFonts w:cs="Arial"/>
          <w:szCs w:val="24"/>
        </w:rPr>
        <w:t>s</w:t>
      </w:r>
      <w:r w:rsidRPr="009A2F07">
        <w:rPr>
          <w:rFonts w:cs="Arial"/>
          <w:szCs w:val="24"/>
        </w:rPr>
        <w:t xml:space="preserve"> de la norma se permite a estos generadores recuperar los costes, incluyendo los asociados con las normas </w:t>
      </w:r>
      <w:r>
        <w:rPr>
          <w:rFonts w:cs="Arial"/>
          <w:szCs w:val="24"/>
        </w:rPr>
        <w:t xml:space="preserve">nacionales de seguridad </w:t>
      </w:r>
      <w:r w:rsidRPr="009A2F07">
        <w:rPr>
          <w:rFonts w:cs="Arial"/>
          <w:szCs w:val="24"/>
        </w:rPr>
        <w:t xml:space="preserve">para </w:t>
      </w:r>
      <w:r>
        <w:rPr>
          <w:rFonts w:cs="Arial"/>
          <w:szCs w:val="24"/>
        </w:rPr>
        <w:t xml:space="preserve">la </w:t>
      </w:r>
      <w:r w:rsidRPr="009A2F07">
        <w:rPr>
          <w:rFonts w:cs="Arial"/>
          <w:szCs w:val="24"/>
        </w:rPr>
        <w:t xml:space="preserve">protección de infraestructuras críticas. Las normas permiten a estos generadores elegir un factor de recuperación de capital ligado a la vida útil de las mejoras realizadas </w:t>
      </w:r>
      <w:r>
        <w:rPr>
          <w:rFonts w:cs="Arial"/>
          <w:szCs w:val="24"/>
        </w:rPr>
        <w:t xml:space="preserve">en vez de a </w:t>
      </w:r>
      <w:r w:rsidRPr="009A2F07">
        <w:rPr>
          <w:rFonts w:cs="Arial"/>
          <w:szCs w:val="24"/>
        </w:rPr>
        <w:t xml:space="preserve">la vida </w:t>
      </w:r>
      <w:r>
        <w:rPr>
          <w:rFonts w:cs="Arial"/>
          <w:szCs w:val="24"/>
        </w:rPr>
        <w:t xml:space="preserve">útil </w:t>
      </w:r>
      <w:r w:rsidRPr="009A2F07">
        <w:rPr>
          <w:rFonts w:cs="Arial"/>
          <w:szCs w:val="24"/>
        </w:rPr>
        <w:t>de la unidad mejorada. (EDP 23.01</w:t>
      </w:r>
      <w:r>
        <w:rPr>
          <w:rFonts w:cs="Arial"/>
          <w:szCs w:val="24"/>
        </w:rPr>
        <w:t>)</w:t>
      </w:r>
      <w:r w:rsidRPr="009A2F07">
        <w:rPr>
          <w:rFonts w:ascii="StoneSerifStd-Medium" w:hAnsi="StoneSerifStd-Medium" w:cs="StoneSerifStd-Medium"/>
          <w:sz w:val="17"/>
          <w:szCs w:val="17"/>
        </w:rPr>
        <w:t>.</w:t>
      </w:r>
    </w:p>
    <w:p w:rsidR="00AD737D" w:rsidRDefault="00BC426E" w:rsidP="00AD737D">
      <w:pPr>
        <w:numPr>
          <w:ilvl w:val="0"/>
          <w:numId w:val="11"/>
        </w:numPr>
        <w:spacing w:before="100" w:beforeAutospacing="1" w:line="276" w:lineRule="auto"/>
        <w:ind w:left="284" w:hanging="284"/>
      </w:pPr>
      <w:r>
        <w:rPr>
          <w:b/>
          <w:szCs w:val="24"/>
          <w:lang w:val="es-ES_tradnl"/>
        </w:rPr>
        <w:t xml:space="preserve">El gobernador de New York pide grandes reformas en las redes de transporte estatales, </w:t>
      </w:r>
      <w:r>
        <w:rPr>
          <w:szCs w:val="24"/>
          <w:lang w:val="es-ES_tradnl"/>
        </w:rPr>
        <w:t>con la creación de un plan maestro que permita la construcción de una “autopista eléctrica” que llevará la energía desde Quebec y el oeste del estado hacia las zonas con más demanda. (Watertown MY, Daily times 04.01).</w:t>
      </w:r>
      <w:r w:rsidR="00AD737D" w:rsidRPr="00D66F22">
        <w:t xml:space="preserve"> </w:t>
      </w:r>
    </w:p>
    <w:p w:rsidR="00BC426E" w:rsidRPr="00BC426E" w:rsidRDefault="00BC426E" w:rsidP="00BC426E">
      <w:pPr>
        <w:numPr>
          <w:ilvl w:val="0"/>
          <w:numId w:val="11"/>
        </w:numPr>
        <w:spacing w:before="100" w:beforeAutospacing="1" w:line="276" w:lineRule="auto"/>
        <w:ind w:left="284" w:hanging="284"/>
      </w:pPr>
      <w:r w:rsidRPr="00BC426E">
        <w:rPr>
          <w:rFonts w:cs="Arial"/>
          <w:b/>
          <w:szCs w:val="24"/>
        </w:rPr>
        <w:t>ERCOT aprueba la construcción de una</w:t>
      </w:r>
      <w:r w:rsidR="00625AFA">
        <w:rPr>
          <w:rFonts w:cs="Arial"/>
          <w:b/>
          <w:szCs w:val="24"/>
        </w:rPr>
        <w:t xml:space="preserve"> línea de transporte por 274,7 m</w:t>
      </w:r>
      <w:r w:rsidRPr="00BC426E">
        <w:rPr>
          <w:rFonts w:cs="Arial"/>
          <w:b/>
          <w:szCs w:val="24"/>
        </w:rPr>
        <w:t>ill</w:t>
      </w:r>
      <w:r w:rsidR="00625AFA">
        <w:rPr>
          <w:rFonts w:cs="Arial"/>
          <w:b/>
          <w:szCs w:val="24"/>
        </w:rPr>
        <w:t>ones de</w:t>
      </w:r>
      <w:r w:rsidRPr="00BC426E">
        <w:rPr>
          <w:rFonts w:cs="Arial"/>
          <w:b/>
          <w:szCs w:val="24"/>
        </w:rPr>
        <w:t xml:space="preserve"> USD</w:t>
      </w:r>
      <w:r w:rsidRPr="00BC426E">
        <w:rPr>
          <w:rFonts w:cs="Arial"/>
          <w:szCs w:val="24"/>
        </w:rPr>
        <w:t xml:space="preserve">, </w:t>
      </w:r>
      <w:r>
        <w:rPr>
          <w:rFonts w:cs="Arial"/>
          <w:szCs w:val="24"/>
        </w:rPr>
        <w:t>que servirá para dar cabida parcialmente a un futuro proyecto industrial a gran escala en el sur de Texas. La línea se construirá a lo largo de la frontera con Méjico. (EPD 09.01)</w:t>
      </w:r>
    </w:p>
    <w:p w:rsidR="00BC426E" w:rsidRPr="00D66F22" w:rsidRDefault="00BC426E" w:rsidP="00BC426E">
      <w:pPr>
        <w:numPr>
          <w:ilvl w:val="0"/>
          <w:numId w:val="11"/>
        </w:numPr>
        <w:spacing w:before="100" w:beforeAutospacing="1" w:line="276" w:lineRule="auto"/>
        <w:ind w:left="284" w:hanging="284"/>
      </w:pPr>
      <w:r w:rsidRPr="00BC426E">
        <w:rPr>
          <w:rFonts w:asciiTheme="minorHAnsi" w:hAnsiTheme="minorHAnsi" w:cs="Arial"/>
          <w:b/>
          <w:szCs w:val="24"/>
        </w:rPr>
        <w:t xml:space="preserve">ERCOT </w:t>
      </w:r>
      <w:hyperlink r:id="rId15" w:history="1">
        <w:r w:rsidRPr="00BC426E">
          <w:rPr>
            <w:rStyle w:val="Hipervnculo"/>
            <w:rFonts w:asciiTheme="minorHAnsi" w:hAnsiTheme="minorHAnsi" w:cs="Arial"/>
            <w:b/>
            <w:szCs w:val="24"/>
          </w:rPr>
          <w:t>afirma</w:t>
        </w:r>
      </w:hyperlink>
      <w:r w:rsidRPr="00BC426E">
        <w:rPr>
          <w:rFonts w:asciiTheme="minorHAnsi" w:hAnsiTheme="minorHAnsi" w:cs="Arial"/>
          <w:b/>
          <w:szCs w:val="24"/>
        </w:rPr>
        <w:t xml:space="preserve"> que las</w:t>
      </w:r>
      <w:r w:rsidRPr="002D7DB8">
        <w:rPr>
          <w:rFonts w:cs="Arial"/>
          <w:b/>
          <w:szCs w:val="24"/>
        </w:rPr>
        <w:t xml:space="preserve"> nuevas líneas y mejoras de red planificadas para los próximos años, reducirán las congestiones y ayudarán a reducir los precios: </w:t>
      </w:r>
      <w:r w:rsidRPr="002D7DB8">
        <w:rPr>
          <w:rFonts w:cs="Arial"/>
          <w:szCs w:val="24"/>
        </w:rPr>
        <w:t>Los proyectos incluyen más de 2.300 millas de líneas de 345</w:t>
      </w:r>
      <w:r w:rsidR="00625AFA">
        <w:rPr>
          <w:rFonts w:cs="Arial"/>
          <w:szCs w:val="24"/>
        </w:rPr>
        <w:t xml:space="preserve"> </w:t>
      </w:r>
      <w:proofErr w:type="spellStart"/>
      <w:r w:rsidRPr="002D7DB8">
        <w:rPr>
          <w:rFonts w:cs="Arial"/>
          <w:szCs w:val="24"/>
        </w:rPr>
        <w:t>kV</w:t>
      </w:r>
      <w:proofErr w:type="spellEnd"/>
      <w:r w:rsidRPr="002D7DB8">
        <w:rPr>
          <w:rFonts w:cs="Arial"/>
          <w:szCs w:val="24"/>
        </w:rPr>
        <w:t xml:space="preserve"> y líneas adicionales de 185</w:t>
      </w:r>
      <w:r w:rsidR="00625AFA">
        <w:rPr>
          <w:rFonts w:cs="Arial"/>
          <w:szCs w:val="24"/>
        </w:rPr>
        <w:t xml:space="preserve"> </w:t>
      </w:r>
      <w:proofErr w:type="spellStart"/>
      <w:r w:rsidRPr="002D7DB8">
        <w:rPr>
          <w:rFonts w:cs="Arial"/>
          <w:szCs w:val="24"/>
        </w:rPr>
        <w:t>kV</w:t>
      </w:r>
      <w:proofErr w:type="spellEnd"/>
      <w:r w:rsidRPr="002D7DB8">
        <w:rPr>
          <w:rFonts w:cs="Arial"/>
          <w:szCs w:val="24"/>
        </w:rPr>
        <w:t xml:space="preserve"> en las CREZ que se espera entren en servicio en 2013. Estas últimas integrarán entre 8.000 y 9.000</w:t>
      </w:r>
      <w:r w:rsidR="00625AFA">
        <w:rPr>
          <w:rFonts w:cs="Arial"/>
          <w:szCs w:val="24"/>
        </w:rPr>
        <w:t xml:space="preserve"> </w:t>
      </w:r>
      <w:r w:rsidRPr="002D7DB8">
        <w:rPr>
          <w:rFonts w:cs="Arial"/>
          <w:szCs w:val="24"/>
        </w:rPr>
        <w:t>MW de energía eólica en la red. (EPD 18.01). Según ERCOT</w:t>
      </w:r>
      <w:r>
        <w:rPr>
          <w:rFonts w:cs="Arial"/>
          <w:szCs w:val="24"/>
        </w:rPr>
        <w:t>,</w:t>
      </w:r>
      <w:r w:rsidRPr="002D7DB8">
        <w:rPr>
          <w:rFonts w:cs="Arial"/>
          <w:szCs w:val="24"/>
        </w:rPr>
        <w:t xml:space="preserve"> </w:t>
      </w:r>
      <w:r w:rsidRPr="002D7DB8">
        <w:rPr>
          <w:rFonts w:cs="Arial"/>
          <w:b/>
          <w:szCs w:val="24"/>
        </w:rPr>
        <w:t xml:space="preserve">las empresas </w:t>
      </w:r>
      <w:r>
        <w:rPr>
          <w:rFonts w:cs="Arial"/>
          <w:b/>
          <w:szCs w:val="24"/>
        </w:rPr>
        <w:t>invertirán</w:t>
      </w:r>
      <w:r w:rsidR="00625AFA">
        <w:rPr>
          <w:rFonts w:cs="Arial"/>
          <w:b/>
          <w:szCs w:val="24"/>
        </w:rPr>
        <w:t xml:space="preserve"> unos 8.700 millones de</w:t>
      </w:r>
      <w:r w:rsidRPr="002D7DB8">
        <w:rPr>
          <w:rFonts w:cs="Arial"/>
          <w:b/>
          <w:szCs w:val="24"/>
        </w:rPr>
        <w:t xml:space="preserve"> USD</w:t>
      </w:r>
      <w:r w:rsidRPr="002D7DB8">
        <w:rPr>
          <w:rFonts w:cs="Arial"/>
          <w:szCs w:val="24"/>
        </w:rPr>
        <w:t xml:space="preserve"> en </w:t>
      </w:r>
      <w:r>
        <w:rPr>
          <w:rFonts w:cs="Arial"/>
          <w:szCs w:val="24"/>
        </w:rPr>
        <w:t xml:space="preserve">estas </w:t>
      </w:r>
      <w:r w:rsidRPr="002D7DB8">
        <w:rPr>
          <w:rFonts w:cs="Arial"/>
          <w:szCs w:val="24"/>
        </w:rPr>
        <w:t>mejoras los próximos 5 años</w:t>
      </w:r>
      <w:r>
        <w:rPr>
          <w:rFonts w:cs="Arial"/>
          <w:szCs w:val="24"/>
        </w:rPr>
        <w:t>.</w:t>
      </w:r>
      <w:r w:rsidRPr="002D7DB8">
        <w:rPr>
          <w:rFonts w:cs="Arial"/>
          <w:szCs w:val="24"/>
        </w:rPr>
        <w:t xml:space="preserve"> (Boston </w:t>
      </w:r>
      <w:proofErr w:type="spellStart"/>
      <w:r w:rsidRPr="002D7DB8">
        <w:rPr>
          <w:rFonts w:cs="Arial"/>
          <w:szCs w:val="24"/>
        </w:rPr>
        <w:t>Platts</w:t>
      </w:r>
      <w:proofErr w:type="spellEnd"/>
      <w:r w:rsidRPr="002D7DB8">
        <w:rPr>
          <w:rFonts w:cs="Arial"/>
          <w:szCs w:val="24"/>
        </w:rPr>
        <w:t xml:space="preserve"> 16.01)</w:t>
      </w:r>
    </w:p>
    <w:p w:rsidR="00BC426E" w:rsidRPr="00D66F22" w:rsidRDefault="00BC426E" w:rsidP="00BC426E">
      <w:pPr>
        <w:numPr>
          <w:ilvl w:val="0"/>
          <w:numId w:val="11"/>
        </w:numPr>
        <w:spacing w:before="100" w:beforeAutospacing="1" w:line="276" w:lineRule="auto"/>
        <w:ind w:left="284" w:hanging="284"/>
      </w:pPr>
      <w:r>
        <w:rPr>
          <w:rFonts w:cs="Arial"/>
          <w:b/>
          <w:szCs w:val="24"/>
        </w:rPr>
        <w:t>La PUC de Texas debe decidir sobre la normativa de transporte:</w:t>
      </w:r>
      <w:r>
        <w:rPr>
          <w:rFonts w:cs="Arial"/>
          <w:szCs w:val="24"/>
        </w:rPr>
        <w:t xml:space="preserve"> Recientemente se ha aprobado en la asamblea legislativa de Texas una norma por la cual la PUC de Texas deberá establecer el criterio para que los proyectos de redes de transporte de ERCOT busquen más el incentivo económico que el de fiabilidad del sistema. En el pasado era ERCOT el que decidía sobre los proyectos. (EPD 10.02)</w:t>
      </w:r>
    </w:p>
    <w:p w:rsidR="00BC426E" w:rsidRPr="00D66F22" w:rsidRDefault="00BC426E" w:rsidP="00BC426E">
      <w:pPr>
        <w:numPr>
          <w:ilvl w:val="0"/>
          <w:numId w:val="11"/>
        </w:numPr>
        <w:spacing w:before="100" w:beforeAutospacing="1" w:line="276" w:lineRule="auto"/>
        <w:ind w:left="284" w:hanging="284"/>
      </w:pPr>
      <w:r w:rsidRPr="009E3878">
        <w:rPr>
          <w:rFonts w:cs="Arial"/>
          <w:b/>
          <w:szCs w:val="24"/>
        </w:rPr>
        <w:t>MISO avisa a PSC Missouri que cerca de 61.000</w:t>
      </w:r>
      <w:r w:rsidR="00625AFA">
        <w:rPr>
          <w:rFonts w:cs="Arial"/>
          <w:b/>
          <w:szCs w:val="24"/>
        </w:rPr>
        <w:t xml:space="preserve"> </w:t>
      </w:r>
      <w:r w:rsidRPr="009E3878">
        <w:rPr>
          <w:rFonts w:cs="Arial"/>
          <w:b/>
          <w:szCs w:val="24"/>
        </w:rPr>
        <w:t>MW tendrán que instalar equipos de control de emisiones para cumplir con la regulación medioambiental federal</w:t>
      </w:r>
      <w:r w:rsidRPr="009E3878">
        <w:rPr>
          <w:rFonts w:cs="Arial"/>
          <w:szCs w:val="24"/>
        </w:rPr>
        <w:t>, lo que podría provocar problemas en cuanto a fiabilidad del sistema ya que deben hacer mejoras antes de 2016. MISO estima que unos 13.000</w:t>
      </w:r>
      <w:r w:rsidR="00625AFA">
        <w:rPr>
          <w:rFonts w:cs="Arial"/>
          <w:szCs w:val="24"/>
        </w:rPr>
        <w:t xml:space="preserve"> </w:t>
      </w:r>
      <w:r w:rsidRPr="009E3878">
        <w:rPr>
          <w:rFonts w:cs="Arial"/>
          <w:szCs w:val="24"/>
        </w:rPr>
        <w:t>MW podrían cerrar al estimar que el coste de mejora sea superior a su coste de reemplazo. (EPD 26.01)</w:t>
      </w:r>
    </w:p>
    <w:p w:rsidR="00BC426E" w:rsidRPr="00D66F22" w:rsidRDefault="00BC426E" w:rsidP="00BC426E">
      <w:pPr>
        <w:numPr>
          <w:ilvl w:val="0"/>
          <w:numId w:val="11"/>
        </w:numPr>
        <w:spacing w:before="100" w:beforeAutospacing="1" w:line="276" w:lineRule="auto"/>
        <w:ind w:left="284" w:hanging="284"/>
      </w:pPr>
      <w:r>
        <w:rPr>
          <w:rFonts w:cs="Arial"/>
          <w:b/>
          <w:szCs w:val="24"/>
        </w:rPr>
        <w:t xml:space="preserve">MISO ve un declive en la entrada de nuevos generadores, con una caída del 50% respecto a 2010, </w:t>
      </w:r>
      <w:r>
        <w:rPr>
          <w:rFonts w:cs="Arial"/>
          <w:szCs w:val="24"/>
        </w:rPr>
        <w:t>debido principal</w:t>
      </w:r>
      <w:r w:rsidRPr="00CB2924">
        <w:rPr>
          <w:rFonts w:cs="Arial"/>
          <w:szCs w:val="24"/>
        </w:rPr>
        <w:t>m</w:t>
      </w:r>
      <w:r>
        <w:rPr>
          <w:rFonts w:cs="Arial"/>
          <w:szCs w:val="24"/>
        </w:rPr>
        <w:t>en</w:t>
      </w:r>
      <w:r w:rsidRPr="00CB2924">
        <w:rPr>
          <w:rFonts w:cs="Arial"/>
          <w:szCs w:val="24"/>
        </w:rPr>
        <w:t xml:space="preserve">te a los bajos precios de gas, el fin de los PTC a </w:t>
      </w:r>
      <w:r>
        <w:rPr>
          <w:rFonts w:cs="Arial"/>
          <w:szCs w:val="24"/>
        </w:rPr>
        <w:t xml:space="preserve">la eólica </w:t>
      </w:r>
      <w:r w:rsidRPr="00CB2924">
        <w:rPr>
          <w:rFonts w:cs="Arial"/>
          <w:szCs w:val="24"/>
        </w:rPr>
        <w:t xml:space="preserve">finales de 2012 y </w:t>
      </w:r>
      <w:r>
        <w:rPr>
          <w:rFonts w:cs="Arial"/>
          <w:szCs w:val="24"/>
        </w:rPr>
        <w:t>el</w:t>
      </w:r>
      <w:r w:rsidRPr="00CB2924">
        <w:rPr>
          <w:rFonts w:cs="Arial"/>
          <w:szCs w:val="24"/>
        </w:rPr>
        <w:t xml:space="preserve"> </w:t>
      </w:r>
      <w:r>
        <w:rPr>
          <w:rFonts w:cs="Arial"/>
          <w:szCs w:val="24"/>
        </w:rPr>
        <w:t xml:space="preserve">avanzado cumplimiento del </w:t>
      </w:r>
      <w:r w:rsidRPr="00CB2924">
        <w:rPr>
          <w:rFonts w:cs="Arial"/>
          <w:szCs w:val="24"/>
        </w:rPr>
        <w:t xml:space="preserve">RPS </w:t>
      </w:r>
      <w:r>
        <w:rPr>
          <w:rFonts w:cs="Arial"/>
          <w:szCs w:val="24"/>
        </w:rPr>
        <w:t>estatal</w:t>
      </w:r>
      <w:r w:rsidRPr="00CB2924">
        <w:rPr>
          <w:rFonts w:cs="Arial"/>
          <w:szCs w:val="24"/>
        </w:rPr>
        <w:t>.</w:t>
      </w:r>
      <w:r>
        <w:rPr>
          <w:rFonts w:cs="Arial"/>
          <w:szCs w:val="24"/>
        </w:rPr>
        <w:t xml:space="preserve"> (EPD 16.02)</w:t>
      </w:r>
    </w:p>
    <w:p w:rsidR="00BC426E" w:rsidRPr="00BC426E" w:rsidRDefault="00BC426E" w:rsidP="00BC426E">
      <w:pPr>
        <w:numPr>
          <w:ilvl w:val="0"/>
          <w:numId w:val="11"/>
        </w:numPr>
        <w:spacing w:before="100" w:beforeAutospacing="1" w:line="276" w:lineRule="auto"/>
        <w:ind w:left="284" w:hanging="284"/>
      </w:pPr>
      <w:r w:rsidRPr="00BC426E">
        <w:rPr>
          <w:rFonts w:cs="Arial"/>
          <w:b/>
          <w:szCs w:val="24"/>
        </w:rPr>
        <w:t>El ISO NE desarrollará como prioridad en 2012 un estudio sobre integración de eólica</w:t>
      </w:r>
      <w:r w:rsidRPr="00BC426E">
        <w:rPr>
          <w:rFonts w:cs="Arial"/>
          <w:szCs w:val="24"/>
        </w:rPr>
        <w:t xml:space="preserve">: </w:t>
      </w:r>
      <w:r>
        <w:rPr>
          <w:rFonts w:cs="Arial"/>
          <w:szCs w:val="24"/>
        </w:rPr>
        <w:t>el estudio incluirá en su primera fase la integración de las previsiones de eólica de modo que se establezcan alertas cuando la generación eólica tenga consecuencias negativas sobre el sistema. En la segunda fase se estudiará la integración de la eólica en la operación en tiempo real.  (EPD 15.02)</w:t>
      </w:r>
    </w:p>
    <w:p w:rsidR="00BC426E" w:rsidRPr="00BC426E" w:rsidRDefault="00BC426E" w:rsidP="00BC426E">
      <w:pPr>
        <w:numPr>
          <w:ilvl w:val="0"/>
          <w:numId w:val="11"/>
        </w:numPr>
        <w:spacing w:before="100" w:beforeAutospacing="1" w:line="276" w:lineRule="auto"/>
        <w:ind w:left="284" w:hanging="284"/>
      </w:pPr>
      <w:r w:rsidRPr="00BC426E">
        <w:rPr>
          <w:rFonts w:cs="Arial"/>
          <w:b/>
          <w:szCs w:val="24"/>
        </w:rPr>
        <w:t xml:space="preserve">ISO New </w:t>
      </w:r>
      <w:proofErr w:type="spellStart"/>
      <w:r w:rsidRPr="00BC426E">
        <w:rPr>
          <w:rFonts w:cs="Arial"/>
          <w:b/>
          <w:szCs w:val="24"/>
        </w:rPr>
        <w:t>England</w:t>
      </w:r>
      <w:proofErr w:type="spellEnd"/>
      <w:r w:rsidRPr="00BC426E">
        <w:rPr>
          <w:rFonts w:cs="Arial"/>
          <w:b/>
          <w:szCs w:val="24"/>
        </w:rPr>
        <w:t xml:space="preserve"> obtiene permiso de la FERC para proporcionar mayor información </w:t>
      </w:r>
      <w:r>
        <w:rPr>
          <w:rFonts w:cs="Arial"/>
          <w:szCs w:val="24"/>
        </w:rPr>
        <w:t>a sus participantes sobre las líneas de transporte que han visto reducida su ratio de capacidad debido a cambios en las condiciones de campo (</w:t>
      </w:r>
      <w:proofErr w:type="spellStart"/>
      <w:r>
        <w:rPr>
          <w:rFonts w:cs="Arial"/>
          <w:szCs w:val="24"/>
        </w:rPr>
        <w:t>field</w:t>
      </w:r>
      <w:proofErr w:type="spellEnd"/>
      <w:r>
        <w:rPr>
          <w:rFonts w:cs="Arial"/>
          <w:szCs w:val="24"/>
        </w:rPr>
        <w:t xml:space="preserve"> </w:t>
      </w:r>
      <w:proofErr w:type="spellStart"/>
      <w:r>
        <w:rPr>
          <w:rFonts w:cs="Arial"/>
          <w:szCs w:val="24"/>
        </w:rPr>
        <w:t>conditions</w:t>
      </w:r>
      <w:proofErr w:type="spellEnd"/>
      <w:r>
        <w:rPr>
          <w:rFonts w:cs="Arial"/>
          <w:szCs w:val="24"/>
        </w:rPr>
        <w:t>). (EUW 27.02)</w:t>
      </w:r>
    </w:p>
    <w:p w:rsidR="00BC426E" w:rsidRPr="00D66F22" w:rsidRDefault="00BC426E" w:rsidP="00BC426E">
      <w:pPr>
        <w:numPr>
          <w:ilvl w:val="0"/>
          <w:numId w:val="11"/>
        </w:numPr>
        <w:spacing w:before="100" w:beforeAutospacing="1" w:line="276" w:lineRule="auto"/>
        <w:ind w:left="284" w:hanging="284"/>
      </w:pPr>
      <w:r w:rsidRPr="0024662B">
        <w:rPr>
          <w:rFonts w:cs="Arial"/>
          <w:b/>
          <w:szCs w:val="24"/>
        </w:rPr>
        <w:t>Cal ISO comienza a desarrollar los principios de asignación de costes de los diferentes productos y servicios a los participantes del mercado</w:t>
      </w:r>
      <w:r>
        <w:rPr>
          <w:rFonts w:cs="Arial"/>
          <w:szCs w:val="24"/>
        </w:rPr>
        <w:t>. El nuevo reparto tendrá en cuenta los comentarios enviados por los distintos agentes, y los costes se cargarán a los recursos y/o participantes del mercado que se beneficien de ellos o que los hayan originado. (EPD 16.02)</w:t>
      </w:r>
      <w:r w:rsidRPr="00D66F22">
        <w:t xml:space="preserve"> </w:t>
      </w:r>
    </w:p>
    <w:p w:rsidR="00BC426E" w:rsidRDefault="00BC426E" w:rsidP="00BC426E">
      <w:pPr>
        <w:pStyle w:val="Ttulo3"/>
        <w:rPr>
          <w:lang w:val="es-ES_tradnl"/>
        </w:rPr>
      </w:pPr>
      <w:r>
        <w:rPr>
          <w:lang w:val="es-ES_tradnl"/>
        </w:rPr>
        <w:t>Norteamérica – Nuclear</w:t>
      </w:r>
    </w:p>
    <w:p w:rsidR="00BC426E" w:rsidRPr="00BC426E" w:rsidRDefault="004D1E88" w:rsidP="00BC426E">
      <w:pPr>
        <w:numPr>
          <w:ilvl w:val="0"/>
          <w:numId w:val="11"/>
        </w:numPr>
        <w:spacing w:before="100" w:beforeAutospacing="1" w:line="276" w:lineRule="auto"/>
        <w:ind w:left="284" w:hanging="284"/>
      </w:pPr>
      <w:r>
        <w:rPr>
          <w:rFonts w:cs="Arial"/>
          <w:b/>
          <w:szCs w:val="24"/>
        </w:rPr>
        <w:t>La Comisión Reguladora</w:t>
      </w:r>
      <w:r w:rsidR="00BC426E" w:rsidRPr="00405DB8">
        <w:rPr>
          <w:rFonts w:cs="Arial"/>
          <w:b/>
          <w:szCs w:val="24"/>
        </w:rPr>
        <w:t xml:space="preserve"> nuclear de los EEUU da el visto bueno a la empresa </w:t>
      </w:r>
      <w:proofErr w:type="spellStart"/>
      <w:r w:rsidR="00BC426E" w:rsidRPr="00405DB8">
        <w:rPr>
          <w:rFonts w:cs="Arial"/>
          <w:b/>
          <w:szCs w:val="24"/>
        </w:rPr>
        <w:t>Southern</w:t>
      </w:r>
      <w:proofErr w:type="spellEnd"/>
      <w:r w:rsidR="00BC426E" w:rsidRPr="00405DB8">
        <w:rPr>
          <w:rFonts w:cs="Arial"/>
          <w:b/>
          <w:szCs w:val="24"/>
        </w:rPr>
        <w:t xml:space="preserve"> </w:t>
      </w:r>
      <w:proofErr w:type="spellStart"/>
      <w:r w:rsidR="00BC426E" w:rsidRPr="00405DB8">
        <w:rPr>
          <w:rFonts w:cs="Arial"/>
          <w:b/>
          <w:szCs w:val="24"/>
        </w:rPr>
        <w:t>Co.</w:t>
      </w:r>
      <w:proofErr w:type="spellEnd"/>
      <w:r w:rsidR="00BC426E" w:rsidRPr="00405DB8">
        <w:rPr>
          <w:rFonts w:cs="Arial"/>
          <w:b/>
          <w:szCs w:val="24"/>
        </w:rPr>
        <w:t xml:space="preserve"> para construir dos reactores nucleares:</w:t>
      </w:r>
      <w:r w:rsidR="00BC426E" w:rsidRPr="00405DB8">
        <w:rPr>
          <w:rFonts w:cs="Arial"/>
          <w:szCs w:val="24"/>
        </w:rPr>
        <w:t xml:space="preserve"> Es la primera vez desde 1978 que se concede un nuevo permiso. La comisión considera que se cumplen los requisitos de seguridad y de operación. Los reactores se construirán en la central nuclear de </w:t>
      </w:r>
      <w:proofErr w:type="spellStart"/>
      <w:r w:rsidR="00BC426E" w:rsidRPr="00405DB8">
        <w:rPr>
          <w:rFonts w:cs="Arial"/>
          <w:szCs w:val="24"/>
        </w:rPr>
        <w:t>Vogtle</w:t>
      </w:r>
      <w:proofErr w:type="spellEnd"/>
      <w:r w:rsidR="00BC426E" w:rsidRPr="00405DB8">
        <w:rPr>
          <w:rFonts w:cs="Arial"/>
          <w:szCs w:val="24"/>
        </w:rPr>
        <w:t xml:space="preserve"> y se espera entren en funcionamiento en 2016 y 2017. (EPD 10.02)</w:t>
      </w:r>
    </w:p>
    <w:p w:rsidR="00BC426E" w:rsidRPr="00447C34" w:rsidRDefault="00BC426E" w:rsidP="00BC426E">
      <w:pPr>
        <w:pStyle w:val="Ttulo3"/>
        <w:rPr>
          <w:lang w:val="es-ES_tradnl"/>
        </w:rPr>
      </w:pPr>
      <w:r>
        <w:rPr>
          <w:lang w:val="es-ES_tradnl"/>
        </w:rPr>
        <w:t>Norteamérica – Mercados</w:t>
      </w:r>
    </w:p>
    <w:p w:rsidR="00BC426E" w:rsidRPr="0039158A" w:rsidRDefault="00BC426E" w:rsidP="00600C49">
      <w:pPr>
        <w:numPr>
          <w:ilvl w:val="0"/>
          <w:numId w:val="11"/>
        </w:numPr>
        <w:spacing w:before="100" w:beforeAutospacing="1" w:line="276" w:lineRule="auto"/>
        <w:ind w:left="284" w:hanging="284"/>
        <w:rPr>
          <w:lang w:val="es-ES_tradnl"/>
        </w:rPr>
      </w:pPr>
      <w:r w:rsidRPr="0039158A">
        <w:rPr>
          <w:b/>
          <w:szCs w:val="24"/>
          <w:lang w:val="es-ES_tradnl"/>
        </w:rPr>
        <w:t xml:space="preserve">Siete de los ocho ISO estadounidenses y los RTO le han pedido a la CFTC </w:t>
      </w:r>
      <w:r w:rsidRPr="0039158A">
        <w:rPr>
          <w:szCs w:val="24"/>
          <w:lang w:val="es-ES_tradnl"/>
        </w:rPr>
        <w:t>(</w:t>
      </w:r>
      <w:proofErr w:type="spellStart"/>
      <w:r w:rsidRPr="0039158A">
        <w:rPr>
          <w:szCs w:val="24"/>
          <w:lang w:val="es-ES_tradnl"/>
        </w:rPr>
        <w:t>Commodity</w:t>
      </w:r>
      <w:proofErr w:type="spellEnd"/>
      <w:r w:rsidRPr="0039158A">
        <w:rPr>
          <w:szCs w:val="24"/>
          <w:lang w:val="es-ES_tradnl"/>
        </w:rPr>
        <w:t xml:space="preserve"> </w:t>
      </w:r>
      <w:proofErr w:type="spellStart"/>
      <w:r w:rsidRPr="0039158A">
        <w:rPr>
          <w:szCs w:val="24"/>
          <w:lang w:val="es-ES_tradnl"/>
        </w:rPr>
        <w:t>Futures</w:t>
      </w:r>
      <w:proofErr w:type="spellEnd"/>
      <w:r w:rsidRPr="0039158A">
        <w:rPr>
          <w:szCs w:val="24"/>
          <w:lang w:val="es-ES_tradnl"/>
        </w:rPr>
        <w:t xml:space="preserve"> Trading </w:t>
      </w:r>
      <w:proofErr w:type="spellStart"/>
      <w:r w:rsidRPr="0039158A">
        <w:rPr>
          <w:szCs w:val="24"/>
          <w:lang w:val="es-ES_tradnl"/>
        </w:rPr>
        <w:t>Commission</w:t>
      </w:r>
      <w:proofErr w:type="spellEnd"/>
      <w:r w:rsidR="0039158A" w:rsidRPr="0039158A">
        <w:rPr>
          <w:szCs w:val="24"/>
          <w:lang w:val="es-ES_tradnl"/>
        </w:rPr>
        <w:t>, regulador federal de los derivados financieros)</w:t>
      </w:r>
      <w:r w:rsidR="0039158A" w:rsidRPr="0039158A">
        <w:rPr>
          <w:b/>
          <w:szCs w:val="24"/>
          <w:lang w:val="es-ES_tradnl"/>
        </w:rPr>
        <w:t xml:space="preserve"> quedar exentas de su jurisdicción. </w:t>
      </w:r>
      <w:r w:rsidR="0039158A" w:rsidRPr="0039158A">
        <w:rPr>
          <w:szCs w:val="24"/>
          <w:lang w:val="es-ES_tradnl"/>
        </w:rPr>
        <w:t>La petición se centra sobre todo en excluir de su jurisdicción de derechos de transporte financieros (</w:t>
      </w:r>
      <w:proofErr w:type="spellStart"/>
      <w:r w:rsidR="0039158A" w:rsidRPr="0039158A">
        <w:rPr>
          <w:i/>
          <w:szCs w:val="24"/>
          <w:lang w:val="es-ES_tradnl"/>
        </w:rPr>
        <w:t>financial</w:t>
      </w:r>
      <w:proofErr w:type="spellEnd"/>
      <w:r w:rsidR="0039158A" w:rsidRPr="0039158A">
        <w:rPr>
          <w:i/>
          <w:szCs w:val="24"/>
          <w:lang w:val="es-ES_tradnl"/>
        </w:rPr>
        <w:t xml:space="preserve"> </w:t>
      </w:r>
      <w:proofErr w:type="spellStart"/>
      <w:r w:rsidR="0039158A" w:rsidRPr="0039158A">
        <w:rPr>
          <w:i/>
          <w:szCs w:val="24"/>
          <w:lang w:val="es-ES_tradnl"/>
        </w:rPr>
        <w:t>transmission</w:t>
      </w:r>
      <w:proofErr w:type="spellEnd"/>
      <w:r w:rsidR="0039158A" w:rsidRPr="0039158A">
        <w:rPr>
          <w:i/>
          <w:szCs w:val="24"/>
          <w:lang w:val="es-ES_tradnl"/>
        </w:rPr>
        <w:t xml:space="preserve"> </w:t>
      </w:r>
      <w:proofErr w:type="spellStart"/>
      <w:r w:rsidR="0039158A" w:rsidRPr="0039158A">
        <w:rPr>
          <w:i/>
          <w:szCs w:val="24"/>
          <w:lang w:val="es-ES_tradnl"/>
        </w:rPr>
        <w:t>rights</w:t>
      </w:r>
      <w:proofErr w:type="spellEnd"/>
      <w:r w:rsidR="0039158A" w:rsidRPr="0039158A">
        <w:rPr>
          <w:szCs w:val="24"/>
          <w:lang w:val="es-ES_tradnl"/>
        </w:rPr>
        <w:t>) que podrían ser definidos como swaps. (EPD 09.01)</w:t>
      </w:r>
    </w:p>
    <w:p w:rsidR="000322F5" w:rsidRPr="00447C34" w:rsidRDefault="000322F5" w:rsidP="00600C49">
      <w:pPr>
        <w:pStyle w:val="Ttulo3"/>
        <w:rPr>
          <w:lang w:val="es-ES_tradnl"/>
        </w:rPr>
      </w:pPr>
      <w:r>
        <w:rPr>
          <w:lang w:val="es-ES_tradnl"/>
        </w:rPr>
        <w:t>Resto del mundo – varios</w:t>
      </w:r>
    </w:p>
    <w:p w:rsidR="000322F5" w:rsidRPr="0039158A" w:rsidRDefault="0039158A" w:rsidP="002B6CDF">
      <w:pPr>
        <w:numPr>
          <w:ilvl w:val="0"/>
          <w:numId w:val="12"/>
        </w:numPr>
        <w:spacing w:before="100" w:beforeAutospacing="1" w:line="276" w:lineRule="auto"/>
        <w:ind w:left="284" w:hanging="284"/>
      </w:pPr>
      <w:r w:rsidRPr="007F7956">
        <w:rPr>
          <w:b/>
          <w:szCs w:val="24"/>
        </w:rPr>
        <w:t>Turquía quiere aumentar su capacidad instalada en un 23-26% para 2015</w:t>
      </w:r>
      <w:r w:rsidRPr="007F7956">
        <w:rPr>
          <w:szCs w:val="24"/>
        </w:rPr>
        <w:t xml:space="preserve">, </w:t>
      </w:r>
      <w:r w:rsidR="00D66F22" w:rsidRPr="00D66F22">
        <w:rPr>
          <w:b/>
        </w:rPr>
        <w:t xml:space="preserve"> </w:t>
      </w:r>
      <w:r w:rsidRPr="007F7956">
        <w:rPr>
          <w:szCs w:val="24"/>
        </w:rPr>
        <w:t>con lo que pasaría de los actuales 52,5</w:t>
      </w:r>
      <w:r w:rsidR="00625AFA">
        <w:rPr>
          <w:szCs w:val="24"/>
        </w:rPr>
        <w:t xml:space="preserve"> </w:t>
      </w:r>
      <w:r w:rsidRPr="007F7956">
        <w:rPr>
          <w:szCs w:val="24"/>
        </w:rPr>
        <w:t>GW a 64,6-66.4</w:t>
      </w:r>
      <w:r w:rsidR="00625AFA">
        <w:rPr>
          <w:szCs w:val="24"/>
        </w:rPr>
        <w:t xml:space="preserve"> </w:t>
      </w:r>
      <w:r w:rsidRPr="007F7956">
        <w:rPr>
          <w:szCs w:val="24"/>
        </w:rPr>
        <w:t xml:space="preserve">GW, según estimaciones del operador de red </w:t>
      </w:r>
      <w:proofErr w:type="spellStart"/>
      <w:r w:rsidRPr="007F7956">
        <w:rPr>
          <w:szCs w:val="24"/>
        </w:rPr>
        <w:t>Teias</w:t>
      </w:r>
      <w:proofErr w:type="spellEnd"/>
      <w:r w:rsidRPr="007F7956">
        <w:rPr>
          <w:szCs w:val="24"/>
        </w:rPr>
        <w:t xml:space="preserve">. Las cifras se basan en las expectativas de crecimiento de demanda así como en nuevas instalaciones (EPD 09.01). </w:t>
      </w:r>
      <w:r w:rsidRPr="007F7956">
        <w:rPr>
          <w:b/>
          <w:szCs w:val="24"/>
        </w:rPr>
        <w:t xml:space="preserve">Turquía concede licencias de operación a 37 nuevas centrales </w:t>
      </w:r>
      <w:r w:rsidRPr="007F7956">
        <w:rPr>
          <w:szCs w:val="24"/>
        </w:rPr>
        <w:t>por un periodo de 49 años: entre ellas se incluyen 14 eólicas por un total de 524</w:t>
      </w:r>
      <w:r w:rsidR="00625AFA">
        <w:rPr>
          <w:szCs w:val="24"/>
        </w:rPr>
        <w:t xml:space="preserve"> </w:t>
      </w:r>
      <w:r w:rsidRPr="007F7956">
        <w:rPr>
          <w:szCs w:val="24"/>
        </w:rPr>
        <w:t>MW. (EUPD 14.02)</w:t>
      </w:r>
      <w:r w:rsidRPr="007F7956">
        <w:rPr>
          <w:b/>
          <w:szCs w:val="24"/>
        </w:rPr>
        <w:t xml:space="preserve"> </w:t>
      </w:r>
    </w:p>
    <w:p w:rsidR="0039158A" w:rsidRPr="0039158A" w:rsidRDefault="0039158A" w:rsidP="0039158A">
      <w:pPr>
        <w:numPr>
          <w:ilvl w:val="0"/>
          <w:numId w:val="12"/>
        </w:numPr>
        <w:spacing w:before="100" w:beforeAutospacing="1" w:line="276" w:lineRule="auto"/>
        <w:ind w:left="284" w:hanging="284"/>
      </w:pPr>
      <w:r w:rsidRPr="0039158A">
        <w:rPr>
          <w:b/>
          <w:szCs w:val="24"/>
        </w:rPr>
        <w:t>El Gobierno chileno impulsará el desarrollo de las renovables.</w:t>
      </w:r>
      <w:r w:rsidRPr="0039158A">
        <w:rPr>
          <w:szCs w:val="24"/>
        </w:rPr>
        <w:t xml:space="preserve"> </w:t>
      </w:r>
      <w:r w:rsidRPr="00900FA3">
        <w:rPr>
          <w:szCs w:val="24"/>
        </w:rPr>
        <w:t>En su hoja de ruta</w:t>
      </w:r>
      <w:r w:rsidRPr="00164015">
        <w:rPr>
          <w:szCs w:val="24"/>
        </w:rPr>
        <w:t xml:space="preserve"> energética para los próximos 20 años, se compromete a que el 20% de la generación provenga de renovables, por lo que se desarrollarán mecanismos de apoyo, como subsidios, apertura de terrenos a las renovables o subastas para contratos de suministro con energías renovables. (RER 23.01)</w:t>
      </w:r>
    </w:p>
    <w:p w:rsidR="0039158A" w:rsidRPr="0039158A" w:rsidRDefault="0039158A" w:rsidP="0039158A">
      <w:pPr>
        <w:numPr>
          <w:ilvl w:val="0"/>
          <w:numId w:val="12"/>
        </w:numPr>
        <w:spacing w:before="100" w:beforeAutospacing="1" w:line="276" w:lineRule="auto"/>
        <w:ind w:left="284" w:hanging="284"/>
      </w:pPr>
      <w:r w:rsidRPr="0039158A">
        <w:rPr>
          <w:b/>
          <w:szCs w:val="24"/>
        </w:rPr>
        <w:t>La energía solar y eólica en Ucrania aumenta un 227% en 2011,</w:t>
      </w:r>
      <w:r w:rsidRPr="0039158A">
        <w:rPr>
          <w:szCs w:val="24"/>
        </w:rPr>
        <w:t xml:space="preserve"> </w:t>
      </w:r>
      <w:r>
        <w:rPr>
          <w:szCs w:val="24"/>
        </w:rPr>
        <w:t>alcanzando un total de capacidad instalada de 187,5</w:t>
      </w:r>
      <w:r w:rsidR="00625AFA">
        <w:rPr>
          <w:szCs w:val="24"/>
        </w:rPr>
        <w:t xml:space="preserve"> </w:t>
      </w:r>
      <w:r>
        <w:rPr>
          <w:szCs w:val="24"/>
        </w:rPr>
        <w:t>MW y 121,3</w:t>
      </w:r>
      <w:r w:rsidR="00625AFA">
        <w:rPr>
          <w:szCs w:val="24"/>
        </w:rPr>
        <w:t xml:space="preserve"> </w:t>
      </w:r>
      <w:r>
        <w:rPr>
          <w:szCs w:val="24"/>
        </w:rPr>
        <w:t xml:space="preserve">MW respectivamente. Ucrania, fuertemente dependiente de la energía térmica y nuclear quiere aumentar su capacidad </w:t>
      </w:r>
      <w:proofErr w:type="spellStart"/>
      <w:r>
        <w:rPr>
          <w:szCs w:val="24"/>
        </w:rPr>
        <w:t>solary</w:t>
      </w:r>
      <w:proofErr w:type="spellEnd"/>
      <w:r>
        <w:rPr>
          <w:szCs w:val="24"/>
        </w:rPr>
        <w:t xml:space="preserve"> eólica en 2.000</w:t>
      </w:r>
      <w:r w:rsidR="00625AFA">
        <w:rPr>
          <w:szCs w:val="24"/>
        </w:rPr>
        <w:t xml:space="preserve"> </w:t>
      </w:r>
      <w:r>
        <w:rPr>
          <w:szCs w:val="24"/>
        </w:rPr>
        <w:t>MW los próximos 5 años. (EUPD 17.02)</w:t>
      </w:r>
    </w:p>
    <w:p w:rsidR="0039158A" w:rsidRPr="00E85289" w:rsidRDefault="0039158A" w:rsidP="0039158A">
      <w:pPr>
        <w:numPr>
          <w:ilvl w:val="0"/>
          <w:numId w:val="12"/>
        </w:numPr>
        <w:spacing w:before="100" w:beforeAutospacing="1" w:line="276" w:lineRule="auto"/>
        <w:ind w:left="284" w:hanging="284"/>
      </w:pPr>
      <w:r w:rsidRPr="00405DB8">
        <w:rPr>
          <w:b/>
          <w:szCs w:val="24"/>
        </w:rPr>
        <w:t>En Bolivia, la versión preliminar del proyecto de ley de la electricidad, impone a las empresas que operan en Bolivia la migración a un nuevo marco contractual</w:t>
      </w:r>
      <w:r w:rsidRPr="00405DB8">
        <w:rPr>
          <w:szCs w:val="24"/>
        </w:rPr>
        <w:t xml:space="preserve"> en que la empresa de energía estatal ENDE exigirá una cuota mínima del 60%. Además requiere que inviertan parte de sus beneficios en el desarrollo del sector. (JP Morgan 08.02)</w:t>
      </w:r>
      <w:r w:rsidRPr="0039158A">
        <w:rPr>
          <w:b/>
          <w:szCs w:val="24"/>
        </w:rPr>
        <w:t xml:space="preserve"> </w:t>
      </w:r>
    </w:p>
    <w:p w:rsidR="000322F5" w:rsidRDefault="000322F5" w:rsidP="00600C49">
      <w:pPr>
        <w:pStyle w:val="Ttulo2"/>
      </w:pPr>
      <w:r>
        <w:t>Dará que hablar…</w:t>
      </w:r>
    </w:p>
    <w:p w:rsidR="00675058" w:rsidRPr="00675058" w:rsidRDefault="00B52633" w:rsidP="00675058">
      <w:pPr>
        <w:spacing w:before="100" w:beforeAutospacing="1" w:after="100" w:afterAutospacing="1" w:line="276" w:lineRule="auto"/>
        <w:rPr>
          <w:rFonts w:cs="Arial"/>
        </w:rPr>
      </w:pPr>
      <w:r w:rsidRPr="00594607">
        <w:rPr>
          <w:b/>
          <w:szCs w:val="24"/>
          <w:lang w:val="es-ES_tradnl"/>
        </w:rPr>
        <w:t xml:space="preserve">Las tarifas en Francia podrían aumentar un </w:t>
      </w:r>
      <w:r>
        <w:rPr>
          <w:b/>
          <w:szCs w:val="24"/>
          <w:lang w:val="es-ES_tradnl"/>
        </w:rPr>
        <w:t>3</w:t>
      </w:r>
      <w:r w:rsidRPr="00594607">
        <w:rPr>
          <w:b/>
          <w:szCs w:val="24"/>
          <w:lang w:val="es-ES_tradnl"/>
        </w:rPr>
        <w:t>0% para 2016</w:t>
      </w:r>
      <w:r>
        <w:rPr>
          <w:szCs w:val="24"/>
          <w:lang w:val="es-ES_tradnl"/>
        </w:rPr>
        <w:t>: según el regulador CRE. Esta subida será debida a los planes actuales de inversión, además del esperado aumento en la contribución del CSPE (hasta los 20</w:t>
      </w:r>
      <w:r w:rsidR="00625AFA">
        <w:rPr>
          <w:szCs w:val="24"/>
          <w:lang w:val="es-ES_tradnl"/>
        </w:rPr>
        <w:t xml:space="preserve"> </w:t>
      </w:r>
      <w:r w:rsidR="00B677F1">
        <w:rPr>
          <w:szCs w:val="24"/>
          <w:lang w:val="es-ES_tradnl"/>
        </w:rPr>
        <w:t>€</w:t>
      </w:r>
      <w:r>
        <w:rPr>
          <w:szCs w:val="24"/>
          <w:lang w:val="es-ES_tradnl"/>
        </w:rPr>
        <w:t>/MWh), el cual se usa para subvencionar las energías renovables. El coste de las inversiones necesarias para la construcción y mantenimiento de las redes se ha estimado que provocará una subida del 4% para 2016. Otro factor en la subida de los precios se debe a la obligación de venta (impuesto por AREHN) por parte de EDF de parte de su producción nuclear a sus competidores, lo cual aumentará los precios en un 2% anualmente. También las inversiones extras en seguridad nuclear, estimadas en 10-15.000</w:t>
      </w:r>
      <w:r w:rsidR="00625AFA">
        <w:rPr>
          <w:szCs w:val="24"/>
          <w:lang w:val="es-ES_tradnl"/>
        </w:rPr>
        <w:t xml:space="preserve"> millones de </w:t>
      </w:r>
      <w:r w:rsidR="00B677F1">
        <w:rPr>
          <w:szCs w:val="24"/>
          <w:lang w:val="es-ES_tradnl"/>
        </w:rPr>
        <w:t>€</w:t>
      </w:r>
      <w:r>
        <w:rPr>
          <w:szCs w:val="24"/>
          <w:lang w:val="es-ES_tradnl"/>
        </w:rPr>
        <w:t xml:space="preserve"> servirán para incrementar las tarifas. (EUPD 19.01). </w:t>
      </w:r>
      <w:r w:rsidRPr="00940658">
        <w:rPr>
          <w:szCs w:val="24"/>
          <w:lang w:val="es-ES_tradnl"/>
        </w:rPr>
        <w:t xml:space="preserve">Por otra parte </w:t>
      </w:r>
      <w:r w:rsidRPr="00940658">
        <w:rPr>
          <w:b/>
          <w:szCs w:val="24"/>
          <w:lang w:val="es-ES_tradnl"/>
        </w:rPr>
        <w:t>la CE ha decidido cerrar uno de los procesos que tenía abierto contra Francia</w:t>
      </w:r>
      <w:r w:rsidRPr="00940658">
        <w:rPr>
          <w:szCs w:val="24"/>
          <w:lang w:val="es-ES_tradnl"/>
        </w:rPr>
        <w:t xml:space="preserve"> por</w:t>
      </w:r>
      <w:r>
        <w:rPr>
          <w:szCs w:val="24"/>
          <w:lang w:val="es-ES_tradnl"/>
        </w:rPr>
        <w:t xml:space="preserve"> no implementación de la directiva (2003/54/EC) sobre el mercado interior de la energía, aunque sigue abierto el procedimiento sobre ayudas de estado por tarifas reguladas. El primero ha decidido cerrarlo tras la aprobación y puesta en marcha de la Ley NOME que incluye el acceso a la producción nuclear histórica de EDF mediante una tarifa regulada ARENH (EUPD 27.01). Además, </w:t>
      </w:r>
      <w:r w:rsidRPr="00F7463A">
        <w:rPr>
          <w:b/>
          <w:szCs w:val="24"/>
          <w:lang w:val="es-ES_tradnl"/>
        </w:rPr>
        <w:t>según EDF el precio de venta de la energía nuclear (AREHN) debería aumentar de los actuales 42</w:t>
      </w:r>
      <w:r w:rsidR="00625AFA">
        <w:rPr>
          <w:b/>
          <w:szCs w:val="24"/>
          <w:lang w:val="es-ES_tradnl"/>
        </w:rPr>
        <w:t xml:space="preserve"> </w:t>
      </w:r>
      <w:r w:rsidR="00B677F1">
        <w:rPr>
          <w:b/>
          <w:szCs w:val="24"/>
          <w:lang w:val="es-ES_tradnl"/>
        </w:rPr>
        <w:t>€</w:t>
      </w:r>
      <w:r w:rsidRPr="00F7463A">
        <w:rPr>
          <w:b/>
          <w:szCs w:val="24"/>
          <w:lang w:val="es-ES_tradnl"/>
        </w:rPr>
        <w:t xml:space="preserve">/MWh hasta los 49,50 </w:t>
      </w:r>
      <w:r w:rsidR="00B677F1">
        <w:rPr>
          <w:b/>
          <w:szCs w:val="24"/>
          <w:lang w:val="es-ES_tradnl"/>
        </w:rPr>
        <w:t>€</w:t>
      </w:r>
      <w:r w:rsidRPr="00F7463A">
        <w:rPr>
          <w:b/>
          <w:szCs w:val="24"/>
          <w:lang w:val="es-ES_tradnl"/>
        </w:rPr>
        <w:t>/MWh para 2015</w:t>
      </w:r>
      <w:r>
        <w:rPr>
          <w:szCs w:val="24"/>
          <w:lang w:val="es-ES_tradnl"/>
        </w:rPr>
        <w:t xml:space="preserve">. La subida se justifica necesaria para cubrir las inversiones futuras en nuclear, estimadas en 55.000 </w:t>
      </w:r>
      <w:r w:rsidR="00625AFA">
        <w:rPr>
          <w:szCs w:val="24"/>
          <w:lang w:val="es-ES_tradnl"/>
        </w:rPr>
        <w:t>millones de</w:t>
      </w:r>
      <w:r>
        <w:rPr>
          <w:szCs w:val="24"/>
          <w:lang w:val="es-ES_tradnl"/>
        </w:rPr>
        <w:t xml:space="preserve"> </w:t>
      </w:r>
      <w:r w:rsidR="00B677F1">
        <w:rPr>
          <w:szCs w:val="24"/>
          <w:lang w:val="es-ES_tradnl"/>
        </w:rPr>
        <w:t>€</w:t>
      </w:r>
      <w:r>
        <w:rPr>
          <w:szCs w:val="24"/>
          <w:lang w:val="es-ES_tradnl"/>
        </w:rPr>
        <w:t xml:space="preserve">, para extender la vida útil de sus 58 reactores por 10 años más. (EUPD 17.02). A este respecto es interesante recordar que con fecha 1/01/12 el precio AREHN fue previamente ajustado de 40 a 42 </w:t>
      </w:r>
      <w:r w:rsidR="00B677F1">
        <w:rPr>
          <w:szCs w:val="24"/>
          <w:lang w:val="es-ES_tradnl"/>
        </w:rPr>
        <w:t>€</w:t>
      </w:r>
      <w:r>
        <w:rPr>
          <w:szCs w:val="24"/>
          <w:lang w:val="es-ES_tradnl"/>
        </w:rPr>
        <w:t>/</w:t>
      </w:r>
      <w:proofErr w:type="spellStart"/>
      <w:r>
        <w:rPr>
          <w:szCs w:val="24"/>
          <w:lang w:val="es-ES_tradnl"/>
        </w:rPr>
        <w:t>MWh.</w:t>
      </w:r>
      <w:proofErr w:type="spellEnd"/>
      <w:r>
        <w:rPr>
          <w:szCs w:val="24"/>
          <w:lang w:val="es-ES_tradnl"/>
        </w:rPr>
        <w:t xml:space="preserve"> EDF anunció días después su decisión de no trasladar a sus clientes dicho incremento, lo que fue muy fuertemente contestado por el resto de los suministradores como práctica desleal.</w:t>
      </w:r>
      <w:r w:rsidR="00675058" w:rsidRPr="00675058">
        <w:rPr>
          <w:rFonts w:cs="Arial"/>
        </w:rPr>
        <w:t xml:space="preserve"> </w:t>
      </w:r>
    </w:p>
    <w:p w:rsidR="00675058" w:rsidRPr="00675058" w:rsidRDefault="00B52633" w:rsidP="00675058">
      <w:pPr>
        <w:spacing w:before="100" w:beforeAutospacing="1" w:after="100" w:afterAutospacing="1" w:line="276" w:lineRule="auto"/>
        <w:rPr>
          <w:rFonts w:cs="Arial"/>
        </w:rPr>
      </w:pPr>
      <w:r w:rsidRPr="007F7956">
        <w:rPr>
          <w:b/>
          <w:szCs w:val="24"/>
          <w:lang w:val="es-ES_tradnl"/>
        </w:rPr>
        <w:t>En Alemania, el</w:t>
      </w:r>
      <w:r w:rsidRPr="005513FF">
        <w:rPr>
          <w:b/>
          <w:szCs w:val="24"/>
          <w:lang w:val="es-ES_tradnl"/>
        </w:rPr>
        <w:t xml:space="preserve"> nuevo sistema de apoyo a la</w:t>
      </w:r>
      <w:r w:rsidR="004D1E88">
        <w:rPr>
          <w:b/>
          <w:szCs w:val="24"/>
          <w:lang w:val="es-ES_tradnl"/>
        </w:rPr>
        <w:t>s renovables “prima de mercado”</w:t>
      </w:r>
      <w:r>
        <w:rPr>
          <w:b/>
          <w:szCs w:val="24"/>
          <w:lang w:val="es-ES_tradnl"/>
        </w:rPr>
        <w:t xml:space="preserve"> </w:t>
      </w:r>
      <w:r>
        <w:rPr>
          <w:szCs w:val="24"/>
          <w:lang w:val="es-ES_tradnl"/>
        </w:rPr>
        <w:t>está resultando un éxito. Desde enero 13.513</w:t>
      </w:r>
      <w:r w:rsidR="00625AFA">
        <w:rPr>
          <w:szCs w:val="24"/>
          <w:lang w:val="es-ES_tradnl"/>
        </w:rPr>
        <w:t xml:space="preserve"> </w:t>
      </w:r>
      <w:r w:rsidR="004D1E88">
        <w:rPr>
          <w:szCs w:val="24"/>
          <w:lang w:val="es-ES_tradnl"/>
        </w:rPr>
        <w:t>MW</w:t>
      </w:r>
      <w:r>
        <w:rPr>
          <w:szCs w:val="24"/>
          <w:lang w:val="es-ES_tradnl"/>
        </w:rPr>
        <w:t xml:space="preserve"> han firmado por este mecanismo en vez del sistema </w:t>
      </w:r>
      <w:proofErr w:type="spellStart"/>
      <w:r w:rsidRPr="005513FF">
        <w:rPr>
          <w:i/>
          <w:szCs w:val="24"/>
          <w:lang w:val="es-ES_tradnl"/>
        </w:rPr>
        <w:t>feed</w:t>
      </w:r>
      <w:proofErr w:type="spellEnd"/>
      <w:r w:rsidRPr="005513FF">
        <w:rPr>
          <w:i/>
          <w:szCs w:val="24"/>
          <w:lang w:val="es-ES_tradnl"/>
        </w:rPr>
        <w:t xml:space="preserve"> in </w:t>
      </w:r>
      <w:proofErr w:type="spellStart"/>
      <w:r w:rsidRPr="005513FF">
        <w:rPr>
          <w:i/>
          <w:szCs w:val="24"/>
          <w:lang w:val="es-ES_tradnl"/>
        </w:rPr>
        <w:t>tariff</w:t>
      </w:r>
      <w:proofErr w:type="spellEnd"/>
      <w:r>
        <w:rPr>
          <w:i/>
          <w:szCs w:val="24"/>
          <w:lang w:val="es-ES_tradnl"/>
        </w:rPr>
        <w:t xml:space="preserve"> (FIT)</w:t>
      </w:r>
      <w:r w:rsidRPr="005513FF">
        <w:rPr>
          <w:i/>
          <w:szCs w:val="24"/>
          <w:lang w:val="es-ES_tradnl"/>
        </w:rPr>
        <w:t>.</w:t>
      </w:r>
      <w:r>
        <w:rPr>
          <w:szCs w:val="24"/>
          <w:lang w:val="es-ES_tradnl"/>
        </w:rPr>
        <w:t xml:space="preserve"> Este nuevo mecanismo permite la venta de electricidad directamente en los mercados, y no como el FIT, que sólo permite la venta a los distribuidores. Este sistema está recibiendo críticas debido a las ineficiencias en costes observadas, ya que los costes adicionales de la tasa a las renovables causada por esta “prima de mercado” exceden el máximo previsto de 200</w:t>
      </w:r>
      <w:r w:rsidR="00625AFA">
        <w:rPr>
          <w:szCs w:val="24"/>
          <w:lang w:val="es-ES_tradnl"/>
        </w:rPr>
        <w:t xml:space="preserve"> millones de</w:t>
      </w:r>
      <w:r>
        <w:rPr>
          <w:szCs w:val="24"/>
          <w:lang w:val="es-ES_tradnl"/>
        </w:rPr>
        <w:t xml:space="preserve"> </w:t>
      </w:r>
      <w:r w:rsidR="00B677F1">
        <w:rPr>
          <w:szCs w:val="24"/>
          <w:lang w:val="es-ES_tradnl"/>
        </w:rPr>
        <w:t>€</w:t>
      </w:r>
      <w:r>
        <w:rPr>
          <w:szCs w:val="24"/>
          <w:lang w:val="es-ES_tradnl"/>
        </w:rPr>
        <w:t xml:space="preserve">/año. (PIE 06.02). Se prevé la </w:t>
      </w:r>
      <w:r w:rsidRPr="00576065">
        <w:rPr>
          <w:b/>
          <w:szCs w:val="24"/>
          <w:lang w:val="es-ES_tradnl"/>
        </w:rPr>
        <w:t>publicación a primeros de marzo de la nueva</w:t>
      </w:r>
      <w:r w:rsidRPr="0086630E">
        <w:rPr>
          <w:b/>
          <w:szCs w:val="24"/>
          <w:lang w:val="es-ES_tradnl"/>
        </w:rPr>
        <w:t xml:space="preserve"> remuneración de la solar FV</w:t>
      </w:r>
      <w:r>
        <w:rPr>
          <w:b/>
          <w:szCs w:val="24"/>
          <w:lang w:val="es-ES_tradnl"/>
        </w:rPr>
        <w:t xml:space="preserve">, </w:t>
      </w:r>
      <w:r>
        <w:rPr>
          <w:szCs w:val="24"/>
          <w:lang w:val="es-ES_tradnl"/>
        </w:rPr>
        <w:t xml:space="preserve">la </w:t>
      </w:r>
      <w:r w:rsidR="004D1E88">
        <w:rPr>
          <w:szCs w:val="24"/>
          <w:lang w:val="es-ES_tradnl"/>
        </w:rPr>
        <w:t>que</w:t>
      </w:r>
      <w:r>
        <w:rPr>
          <w:szCs w:val="24"/>
          <w:lang w:val="es-ES_tradnl"/>
        </w:rPr>
        <w:t xml:space="preserve"> contempla una revisión mensual regresiva en 0,15</w:t>
      </w:r>
      <w:r w:rsidR="00625AFA">
        <w:rPr>
          <w:szCs w:val="24"/>
          <w:lang w:val="es-ES_tradnl"/>
        </w:rPr>
        <w:t xml:space="preserve"> c</w:t>
      </w:r>
      <w:r>
        <w:rPr>
          <w:szCs w:val="24"/>
          <w:lang w:val="es-ES_tradnl"/>
        </w:rPr>
        <w:t>ent</w:t>
      </w:r>
      <w:r w:rsidR="00B677F1">
        <w:rPr>
          <w:szCs w:val="24"/>
          <w:lang w:val="es-ES_tradnl"/>
        </w:rPr>
        <w:t>€</w:t>
      </w:r>
      <w:r>
        <w:rPr>
          <w:szCs w:val="24"/>
          <w:lang w:val="es-ES_tradnl"/>
        </w:rPr>
        <w:t>/kWh, efectiva a partir de marzo de 2012. Además a partir de julio de 2012, se eliminan los subsidios para plantas de más de 10</w:t>
      </w:r>
      <w:r w:rsidR="00625AFA">
        <w:rPr>
          <w:szCs w:val="24"/>
          <w:lang w:val="es-ES_tradnl"/>
        </w:rPr>
        <w:t xml:space="preserve"> </w:t>
      </w:r>
      <w:r>
        <w:rPr>
          <w:szCs w:val="24"/>
          <w:lang w:val="es-ES_tradnl"/>
        </w:rPr>
        <w:t xml:space="preserve">MW. </w:t>
      </w:r>
      <w:r w:rsidRPr="00867886">
        <w:rPr>
          <w:szCs w:val="24"/>
          <w:lang w:val="es-ES_tradnl"/>
        </w:rPr>
        <w:t>D</w:t>
      </w:r>
      <w:r>
        <w:rPr>
          <w:szCs w:val="24"/>
          <w:lang w:val="es-ES_tradnl"/>
        </w:rPr>
        <w:t>e</w:t>
      </w:r>
      <w:r w:rsidRPr="00867886">
        <w:rPr>
          <w:szCs w:val="24"/>
          <w:lang w:val="es-ES_tradnl"/>
        </w:rPr>
        <w:t xml:space="preserve"> este modo se evitará que pase como </w:t>
      </w:r>
      <w:r>
        <w:rPr>
          <w:szCs w:val="24"/>
          <w:lang w:val="es-ES_tradnl"/>
        </w:rPr>
        <w:t xml:space="preserve">en </w:t>
      </w:r>
      <w:r w:rsidRPr="00867886">
        <w:rPr>
          <w:szCs w:val="24"/>
          <w:lang w:val="es-ES_tradnl"/>
        </w:rPr>
        <w:t xml:space="preserve">diciembre </w:t>
      </w:r>
      <w:r>
        <w:rPr>
          <w:szCs w:val="24"/>
          <w:lang w:val="es-ES_tradnl"/>
        </w:rPr>
        <w:t xml:space="preserve">de 2011 </w:t>
      </w:r>
      <w:r w:rsidRPr="00867886">
        <w:rPr>
          <w:szCs w:val="24"/>
          <w:lang w:val="es-ES_tradnl"/>
        </w:rPr>
        <w:t>cuando se instalaron 3</w:t>
      </w:r>
      <w:r w:rsidR="00F75422">
        <w:rPr>
          <w:szCs w:val="24"/>
          <w:lang w:val="es-ES_tradnl"/>
        </w:rPr>
        <w:t xml:space="preserve"> </w:t>
      </w:r>
      <w:r w:rsidRPr="00867886">
        <w:rPr>
          <w:szCs w:val="24"/>
          <w:lang w:val="es-ES_tradnl"/>
        </w:rPr>
        <w:t xml:space="preserve">GW. En 2011 la energía solar supuso el 3,2% del total del </w:t>
      </w:r>
      <w:r w:rsidRPr="004925D9">
        <w:rPr>
          <w:i/>
          <w:szCs w:val="24"/>
          <w:lang w:val="es-ES_tradnl"/>
        </w:rPr>
        <w:t>mix</w:t>
      </w:r>
      <w:r w:rsidRPr="00867886">
        <w:rPr>
          <w:szCs w:val="24"/>
          <w:lang w:val="es-ES_tradnl"/>
        </w:rPr>
        <w:t xml:space="preserve"> energético. </w:t>
      </w:r>
      <w:r>
        <w:rPr>
          <w:szCs w:val="24"/>
          <w:lang w:val="es-ES_tradnl"/>
        </w:rPr>
        <w:t xml:space="preserve">La revisión de las mismas requiere la modificación de la Ley de Renovables. </w:t>
      </w:r>
      <w:r w:rsidRPr="00867886">
        <w:rPr>
          <w:szCs w:val="24"/>
          <w:lang w:val="es-ES_tradnl"/>
        </w:rPr>
        <w:t>(EUPD 23.02</w:t>
      </w:r>
      <w:r>
        <w:rPr>
          <w:szCs w:val="24"/>
          <w:lang w:val="es-ES_tradnl"/>
        </w:rPr>
        <w:t>, PIE 23.01, EUE 27.01</w:t>
      </w:r>
      <w:r w:rsidRPr="00867886">
        <w:rPr>
          <w:szCs w:val="24"/>
          <w:lang w:val="es-ES_tradnl"/>
        </w:rPr>
        <w:t>)</w:t>
      </w:r>
      <w:r>
        <w:rPr>
          <w:szCs w:val="24"/>
          <w:lang w:val="es-ES_tradnl"/>
        </w:rPr>
        <w:t xml:space="preserve"> Además de lo mencionado, </w:t>
      </w:r>
      <w:r w:rsidRPr="004925D9">
        <w:rPr>
          <w:b/>
          <w:szCs w:val="24"/>
          <w:lang w:val="es-ES_tradnl"/>
        </w:rPr>
        <w:t>el Ministro de Economía quiere introducir un “</w:t>
      </w:r>
      <w:proofErr w:type="spellStart"/>
      <w:r w:rsidRPr="004925D9">
        <w:rPr>
          <w:b/>
          <w:i/>
          <w:szCs w:val="24"/>
          <w:lang w:val="es-ES_tradnl"/>
        </w:rPr>
        <w:t>cap</w:t>
      </w:r>
      <w:proofErr w:type="spellEnd"/>
      <w:r w:rsidRPr="004925D9">
        <w:rPr>
          <w:b/>
          <w:szCs w:val="24"/>
          <w:lang w:val="es-ES_tradnl"/>
        </w:rPr>
        <w:t>” para la energía solar y un sistema de cuotas para el resto de las renovables</w:t>
      </w:r>
      <w:r>
        <w:rPr>
          <w:szCs w:val="24"/>
          <w:lang w:val="es-ES_tradnl"/>
        </w:rPr>
        <w:t xml:space="preserve">. Afirma que el sistema de </w:t>
      </w:r>
      <w:proofErr w:type="spellStart"/>
      <w:r w:rsidRPr="004925D9">
        <w:rPr>
          <w:i/>
          <w:szCs w:val="24"/>
          <w:lang w:val="es-ES_tradnl"/>
        </w:rPr>
        <w:t>feed</w:t>
      </w:r>
      <w:proofErr w:type="spellEnd"/>
      <w:r w:rsidRPr="004925D9">
        <w:rPr>
          <w:i/>
          <w:szCs w:val="24"/>
          <w:lang w:val="es-ES_tradnl"/>
        </w:rPr>
        <w:t xml:space="preserve"> in </w:t>
      </w:r>
      <w:proofErr w:type="spellStart"/>
      <w:r w:rsidRPr="004925D9">
        <w:rPr>
          <w:i/>
          <w:szCs w:val="24"/>
          <w:lang w:val="es-ES_tradnl"/>
        </w:rPr>
        <w:t>tariffs</w:t>
      </w:r>
      <w:proofErr w:type="spellEnd"/>
      <w:r>
        <w:rPr>
          <w:szCs w:val="24"/>
          <w:lang w:val="es-ES_tradnl"/>
        </w:rPr>
        <w:t xml:space="preserve"> en Alemania está llevando a una falta de innovación  y que el apoyo a las renovables necesita revisarse. (PIE 23.01)</w:t>
      </w:r>
      <w:r w:rsidR="00675058" w:rsidRPr="00675058">
        <w:rPr>
          <w:rFonts w:cs="Arial"/>
        </w:rPr>
        <w:t xml:space="preserve"> </w:t>
      </w:r>
    </w:p>
    <w:p w:rsidR="000322F5" w:rsidRPr="000322F5" w:rsidRDefault="000322F5" w:rsidP="00600C49">
      <w:pPr>
        <w:pStyle w:val="Ttulo2"/>
        <w:rPr>
          <w:lang w:val="en-US"/>
        </w:rPr>
      </w:pPr>
      <w:r w:rsidRPr="000322F5">
        <w:rPr>
          <w:lang w:val="en-US"/>
        </w:rPr>
        <w:t>Glosario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AREHN: L'accès régulé à l'électricité nucléaire historique. Mecanismo previsto en la </w:t>
      </w:r>
      <w:proofErr w:type="spellStart"/>
      <w:r w:rsidRPr="00B52633">
        <w:rPr>
          <w:szCs w:val="24"/>
          <w:lang w:val="es-ES_tradnl"/>
        </w:rPr>
        <w:t>la</w:t>
      </w:r>
      <w:proofErr w:type="spellEnd"/>
      <w:r w:rsidRPr="00B52633">
        <w:rPr>
          <w:szCs w:val="24"/>
          <w:lang w:val="es-ES_tradnl"/>
        </w:rPr>
        <w:t xml:space="preserve"> nueva ley sobre el mercado de electricidad francés (NOME) por el cual EDF debía vender parte de su producción nuclear a sus competidores.</w:t>
      </w:r>
    </w:p>
    <w:p w:rsidR="00B52633" w:rsidRPr="00B52633" w:rsidRDefault="00D9253D" w:rsidP="00B52633">
      <w:pPr>
        <w:spacing w:before="100" w:beforeAutospacing="1" w:after="100" w:afterAutospacing="1" w:line="276" w:lineRule="auto"/>
        <w:rPr>
          <w:szCs w:val="24"/>
          <w:lang w:val="es-ES_tradnl"/>
        </w:rPr>
      </w:pPr>
      <w:r>
        <w:rPr>
          <w:szCs w:val="24"/>
          <w:lang w:val="es-ES_tradnl"/>
        </w:rPr>
        <w:t xml:space="preserve">AWEA: </w:t>
      </w:r>
      <w:r w:rsidR="00B52633" w:rsidRPr="00B52633">
        <w:rPr>
          <w:szCs w:val="24"/>
          <w:lang w:val="es-ES_tradnl"/>
        </w:rPr>
        <w:t xml:space="preserve">American </w:t>
      </w:r>
      <w:proofErr w:type="spellStart"/>
      <w:r w:rsidR="00B52633" w:rsidRPr="00B52633">
        <w:rPr>
          <w:szCs w:val="24"/>
          <w:lang w:val="es-ES_tradnl"/>
        </w:rPr>
        <w:t>Wind</w:t>
      </w:r>
      <w:proofErr w:type="spellEnd"/>
      <w:r w:rsidR="00B52633" w:rsidRPr="00B52633">
        <w:rPr>
          <w:szCs w:val="24"/>
          <w:lang w:val="es-ES_tradnl"/>
        </w:rPr>
        <w:t xml:space="preserve"> </w:t>
      </w:r>
      <w:proofErr w:type="spellStart"/>
      <w:r w:rsidR="00B52633" w:rsidRPr="00B52633">
        <w:rPr>
          <w:szCs w:val="24"/>
          <w:lang w:val="es-ES_tradnl"/>
        </w:rPr>
        <w:t>Energy</w:t>
      </w:r>
      <w:proofErr w:type="spellEnd"/>
      <w:r w:rsidR="00B52633" w:rsidRPr="00B52633">
        <w:rPr>
          <w:szCs w:val="24"/>
          <w:lang w:val="es-ES_tradnl"/>
        </w:rPr>
        <w:t xml:space="preserve"> </w:t>
      </w:r>
      <w:proofErr w:type="spellStart"/>
      <w:r w:rsidR="00B52633" w:rsidRPr="00B52633">
        <w:rPr>
          <w:szCs w:val="24"/>
          <w:lang w:val="es-ES_tradnl"/>
        </w:rPr>
        <w:t>Association</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BNA: </w:t>
      </w:r>
      <w:proofErr w:type="spellStart"/>
      <w:r w:rsidRPr="00B52633">
        <w:rPr>
          <w:szCs w:val="24"/>
          <w:lang w:val="es-ES_tradnl"/>
        </w:rPr>
        <w:t>Bundesnetzagentur</w:t>
      </w:r>
      <w:proofErr w:type="spellEnd"/>
      <w:r w:rsidRPr="00B52633">
        <w:rPr>
          <w:szCs w:val="24"/>
          <w:lang w:val="es-ES_tradnl"/>
        </w:rPr>
        <w:t>, regulador alemán.</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BPA: </w:t>
      </w:r>
      <w:proofErr w:type="spellStart"/>
      <w:r w:rsidRPr="00B52633">
        <w:rPr>
          <w:szCs w:val="24"/>
          <w:lang w:val="es-ES_tradnl"/>
        </w:rPr>
        <w:t>Bonneville</w:t>
      </w:r>
      <w:proofErr w:type="spellEnd"/>
      <w:r w:rsidRPr="00B52633">
        <w:rPr>
          <w:szCs w:val="24"/>
          <w:lang w:val="es-ES_tradnl"/>
        </w:rPr>
        <w:t xml:space="preserve"> </w:t>
      </w:r>
      <w:proofErr w:type="spellStart"/>
      <w:r w:rsidRPr="00B52633">
        <w:rPr>
          <w:szCs w:val="24"/>
          <w:lang w:val="es-ES_tradnl"/>
        </w:rPr>
        <w:t>Power</w:t>
      </w:r>
      <w:proofErr w:type="spellEnd"/>
      <w:r w:rsidRPr="00B52633">
        <w:rPr>
          <w:szCs w:val="24"/>
          <w:lang w:val="es-ES_tradnl"/>
        </w:rPr>
        <w:t xml:space="preserve"> </w:t>
      </w:r>
      <w:proofErr w:type="spellStart"/>
      <w:r w:rsidRPr="00B52633">
        <w:rPr>
          <w:szCs w:val="24"/>
          <w:lang w:val="es-ES_tradnl"/>
        </w:rPr>
        <w:t>Administration</w:t>
      </w:r>
      <w:proofErr w:type="spellEnd"/>
      <w:r w:rsidRPr="00B52633">
        <w:rPr>
          <w:szCs w:val="24"/>
          <w:lang w:val="es-ES_tradnl"/>
        </w:rPr>
        <w:t xml:space="preserve">, Agencia federal que transporta y vende electricidad en ocho estados del oeste de EEUU: Washington, </w:t>
      </w:r>
      <w:proofErr w:type="spellStart"/>
      <w:r w:rsidRPr="00B52633">
        <w:rPr>
          <w:szCs w:val="24"/>
          <w:lang w:val="es-ES_tradnl"/>
        </w:rPr>
        <w:t>Oregon</w:t>
      </w:r>
      <w:proofErr w:type="spellEnd"/>
      <w:r w:rsidRPr="00B52633">
        <w:rPr>
          <w:szCs w:val="24"/>
          <w:lang w:val="es-ES_tradnl"/>
        </w:rPr>
        <w:t>, Idaho, Montana, Wyoming, Utah, Nevada, y California.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BPU: </w:t>
      </w:r>
      <w:proofErr w:type="spellStart"/>
      <w:r w:rsidRPr="00B52633">
        <w:rPr>
          <w:szCs w:val="24"/>
          <w:lang w:val="es-ES_tradnl"/>
        </w:rPr>
        <w:t>Board</w:t>
      </w:r>
      <w:proofErr w:type="spellEnd"/>
      <w:r w:rsidRPr="00B52633">
        <w:rPr>
          <w:szCs w:val="24"/>
          <w:lang w:val="es-ES_tradnl"/>
        </w:rPr>
        <w:t xml:space="preserve"> of </w:t>
      </w:r>
      <w:proofErr w:type="spellStart"/>
      <w:r w:rsidRPr="00B52633">
        <w:rPr>
          <w:szCs w:val="24"/>
          <w:lang w:val="es-ES_tradnl"/>
        </w:rPr>
        <w:t>Public</w:t>
      </w:r>
      <w:proofErr w:type="spellEnd"/>
      <w:r w:rsidRPr="00B52633">
        <w:rPr>
          <w:szCs w:val="24"/>
          <w:lang w:val="es-ES_tradnl"/>
        </w:rPr>
        <w:t xml:space="preserve"> </w:t>
      </w:r>
      <w:proofErr w:type="spellStart"/>
      <w:r w:rsidRPr="00B52633">
        <w:rPr>
          <w:szCs w:val="24"/>
          <w:lang w:val="es-ES_tradnl"/>
        </w:rPr>
        <w:t>Utilities</w:t>
      </w:r>
      <w:proofErr w:type="spellEnd"/>
      <w:r w:rsidRPr="00B52633">
        <w:rPr>
          <w:szCs w:val="24"/>
          <w:lang w:val="es-ES_tradnl"/>
        </w:rPr>
        <w:t xml:space="preserve">, asociación de empresas de carácter </w:t>
      </w:r>
      <w:r w:rsidR="00D9253D" w:rsidRPr="00B52633">
        <w:rPr>
          <w:szCs w:val="24"/>
          <w:lang w:val="es-ES_tradnl"/>
        </w:rPr>
        <w:t>público</w:t>
      </w:r>
      <w:r w:rsidRPr="00B52633">
        <w:rPr>
          <w:szCs w:val="24"/>
          <w:lang w:val="es-ES_tradnl"/>
        </w:rPr>
        <w:t>.</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Cal ISO: California independent system operator</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CCGT: Combines cycle gas turbine. Ciclo combinado con turbina de gas.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CCS: Carbon capture and storage. Captura y almacenamiento de carbono.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CE: Comisión Europea.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CFTC: </w:t>
      </w:r>
      <w:proofErr w:type="spellStart"/>
      <w:r w:rsidRPr="00B52633">
        <w:rPr>
          <w:szCs w:val="24"/>
          <w:lang w:val="es-ES_tradnl"/>
        </w:rPr>
        <w:t>Commodity</w:t>
      </w:r>
      <w:proofErr w:type="spellEnd"/>
      <w:r w:rsidRPr="00B52633">
        <w:rPr>
          <w:szCs w:val="24"/>
          <w:lang w:val="es-ES_tradnl"/>
        </w:rPr>
        <w:t xml:space="preserve"> </w:t>
      </w:r>
      <w:proofErr w:type="spellStart"/>
      <w:r w:rsidRPr="00B52633">
        <w:rPr>
          <w:szCs w:val="24"/>
          <w:lang w:val="es-ES_tradnl"/>
        </w:rPr>
        <w:t>Futures</w:t>
      </w:r>
      <w:proofErr w:type="spellEnd"/>
      <w:r w:rsidRPr="00B52633">
        <w:rPr>
          <w:szCs w:val="24"/>
          <w:lang w:val="es-ES_tradnl"/>
        </w:rPr>
        <w:t xml:space="preserve"> Trading </w:t>
      </w:r>
      <w:proofErr w:type="spellStart"/>
      <w:r w:rsidRPr="00B52633">
        <w:rPr>
          <w:szCs w:val="24"/>
          <w:lang w:val="es-ES_tradnl"/>
        </w:rPr>
        <w:t>Commission</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CRE: Commission de régulation de l'énergie. Regulador de energía francés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CREG: Commission de régulation de l'électricité et du gaz. Comisión de regulación de electricidad y gas belga.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CREZ</w:t>
      </w:r>
      <w:proofErr w:type="gramStart"/>
      <w:r w:rsidRPr="00B52633">
        <w:rPr>
          <w:szCs w:val="24"/>
          <w:lang w:val="es-ES_tradnl"/>
        </w:rPr>
        <w:t xml:space="preserve">:  </w:t>
      </w:r>
      <w:proofErr w:type="spellStart"/>
      <w:r w:rsidRPr="00B52633">
        <w:rPr>
          <w:szCs w:val="24"/>
          <w:lang w:val="es-ES_tradnl"/>
        </w:rPr>
        <w:t>Competitive</w:t>
      </w:r>
      <w:proofErr w:type="spellEnd"/>
      <w:proofErr w:type="gramEnd"/>
      <w:r w:rsidRPr="00B52633">
        <w:rPr>
          <w:szCs w:val="24"/>
          <w:lang w:val="es-ES_tradnl"/>
        </w:rPr>
        <w:t xml:space="preserve"> </w:t>
      </w:r>
      <w:proofErr w:type="spellStart"/>
      <w:r w:rsidRPr="00B52633">
        <w:rPr>
          <w:szCs w:val="24"/>
          <w:lang w:val="es-ES_tradnl"/>
        </w:rPr>
        <w:t>renewable</w:t>
      </w:r>
      <w:proofErr w:type="spellEnd"/>
      <w:r w:rsidRPr="00B52633">
        <w:rPr>
          <w:szCs w:val="24"/>
          <w:lang w:val="es-ES_tradnl"/>
        </w:rPr>
        <w:t xml:space="preserve"> </w:t>
      </w:r>
      <w:proofErr w:type="spellStart"/>
      <w:r w:rsidRPr="00B52633">
        <w:rPr>
          <w:szCs w:val="24"/>
          <w:lang w:val="es-ES_tradnl"/>
        </w:rPr>
        <w:t>energy</w:t>
      </w:r>
      <w:proofErr w:type="spellEnd"/>
      <w:r w:rsidRPr="00B52633">
        <w:rPr>
          <w:szCs w:val="24"/>
          <w:lang w:val="es-ES_tradnl"/>
        </w:rPr>
        <w:t xml:space="preserve"> </w:t>
      </w:r>
      <w:proofErr w:type="spellStart"/>
      <w:r w:rsidRPr="00B52633">
        <w:rPr>
          <w:szCs w:val="24"/>
          <w:lang w:val="es-ES_tradnl"/>
        </w:rPr>
        <w:t>zone</w:t>
      </w:r>
      <w:proofErr w:type="spellEnd"/>
      <w:r w:rsidRPr="00B52633">
        <w:rPr>
          <w:szCs w:val="24"/>
          <w:lang w:val="es-ES_tradnl"/>
        </w:rPr>
        <w:t>, Zonas de desarrollo de proyectos eólicos en la zona de ERCOT.</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CSPE: Contribution au Service Public de l'Electricité. La CSPE sirve para compensar a </w:t>
      </w:r>
      <w:proofErr w:type="spellStart"/>
      <w:r w:rsidRPr="00B52633">
        <w:rPr>
          <w:szCs w:val="24"/>
          <w:lang w:val="es-ES_tradnl"/>
        </w:rPr>
        <w:t>Electricité</w:t>
      </w:r>
      <w:proofErr w:type="spellEnd"/>
      <w:r w:rsidRPr="00B52633">
        <w:rPr>
          <w:szCs w:val="24"/>
          <w:lang w:val="es-ES_tradnl"/>
        </w:rPr>
        <w:t xml:space="preserve"> de France (EDF) por las obligaciones que tiene que cumplir, como la compra de electricidad de origen eólico o solar-</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DOE: Department of Energy, USA. Departamento de energía de los EEUU.</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EEUU: Estados Unidos de América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EDF: </w:t>
      </w:r>
      <w:proofErr w:type="spellStart"/>
      <w:r w:rsidRPr="00B52633">
        <w:rPr>
          <w:szCs w:val="24"/>
          <w:lang w:val="es-ES_tradnl"/>
        </w:rPr>
        <w:t>Electricité</w:t>
      </w:r>
      <w:proofErr w:type="spellEnd"/>
      <w:r w:rsidRPr="00B52633">
        <w:rPr>
          <w:szCs w:val="24"/>
          <w:lang w:val="es-ES_tradnl"/>
        </w:rPr>
        <w:t xml:space="preserve"> de France.</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EPA: </w:t>
      </w:r>
      <w:proofErr w:type="spellStart"/>
      <w:r w:rsidRPr="00B52633">
        <w:rPr>
          <w:szCs w:val="24"/>
          <w:lang w:val="es-ES_tradnl"/>
        </w:rPr>
        <w:t>Environmental</w:t>
      </w:r>
      <w:proofErr w:type="spellEnd"/>
      <w:r w:rsidRPr="00B52633">
        <w:rPr>
          <w:szCs w:val="24"/>
          <w:lang w:val="es-ES_tradnl"/>
        </w:rPr>
        <w:t xml:space="preserve"> </w:t>
      </w:r>
      <w:proofErr w:type="spellStart"/>
      <w:r w:rsidRPr="00B52633">
        <w:rPr>
          <w:szCs w:val="24"/>
          <w:lang w:val="es-ES_tradnl"/>
        </w:rPr>
        <w:t>Protection</w:t>
      </w:r>
      <w:proofErr w:type="spellEnd"/>
      <w:r w:rsidRPr="00B52633">
        <w:rPr>
          <w:szCs w:val="24"/>
          <w:lang w:val="es-ES_tradnl"/>
        </w:rPr>
        <w:t xml:space="preserve"> </w:t>
      </w:r>
      <w:proofErr w:type="spellStart"/>
      <w:r w:rsidRPr="00B52633">
        <w:rPr>
          <w:szCs w:val="24"/>
          <w:lang w:val="es-ES_tradnl"/>
        </w:rPr>
        <w:t>Agency</w:t>
      </w:r>
      <w:proofErr w:type="spellEnd"/>
      <w:r w:rsidRPr="00B52633">
        <w:rPr>
          <w:szCs w:val="24"/>
          <w:lang w:val="es-ES_tradnl"/>
        </w:rPr>
        <w:t>. Agencia de protección medioambiental estadounidense.</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EPD: Electric Power Daily.</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ERCOT: Electric Reliability Council of Texas. Operador de la red de gran parte de Texas.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EUE: EU </w:t>
      </w:r>
      <w:proofErr w:type="spellStart"/>
      <w:r w:rsidRPr="00B52633">
        <w:rPr>
          <w:szCs w:val="24"/>
          <w:lang w:val="es-ES_tradnl"/>
        </w:rPr>
        <w:t>Energy</w:t>
      </w:r>
      <w:proofErr w:type="spellEnd"/>
      <w:r w:rsidRPr="00B52633">
        <w:rPr>
          <w:szCs w:val="24"/>
          <w:lang w:val="es-ES_tradnl"/>
        </w:rPr>
        <w:t xml:space="preserve">, </w:t>
      </w:r>
      <w:proofErr w:type="spellStart"/>
      <w:r w:rsidRPr="00B52633">
        <w:rPr>
          <w:szCs w:val="24"/>
          <w:lang w:val="es-ES_tradnl"/>
        </w:rPr>
        <w:t>Platts</w:t>
      </w:r>
      <w:proofErr w:type="spellEnd"/>
      <w:r w:rsidRPr="00B52633">
        <w:rPr>
          <w:szCs w:val="24"/>
          <w:lang w:val="es-ES_tradnl"/>
        </w:rPr>
        <w:t>.</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EUPD: </w:t>
      </w:r>
      <w:proofErr w:type="spellStart"/>
      <w:r w:rsidRPr="00B52633">
        <w:rPr>
          <w:szCs w:val="24"/>
          <w:lang w:val="es-ES_tradnl"/>
        </w:rPr>
        <w:t>European</w:t>
      </w:r>
      <w:proofErr w:type="spellEnd"/>
      <w:r w:rsidRPr="00B52633">
        <w:rPr>
          <w:szCs w:val="24"/>
          <w:lang w:val="es-ES_tradnl"/>
        </w:rPr>
        <w:t xml:space="preserve"> </w:t>
      </w:r>
      <w:proofErr w:type="spellStart"/>
      <w:r w:rsidRPr="00B52633">
        <w:rPr>
          <w:szCs w:val="24"/>
          <w:lang w:val="es-ES_tradnl"/>
        </w:rPr>
        <w:t>power</w:t>
      </w:r>
      <w:proofErr w:type="spellEnd"/>
      <w:r w:rsidRPr="00B52633">
        <w:rPr>
          <w:szCs w:val="24"/>
          <w:lang w:val="es-ES_tradnl"/>
        </w:rPr>
        <w:t xml:space="preserve"> </w:t>
      </w:r>
      <w:proofErr w:type="spellStart"/>
      <w:r w:rsidRPr="00B52633">
        <w:rPr>
          <w:szCs w:val="24"/>
          <w:lang w:val="es-ES_tradnl"/>
        </w:rPr>
        <w:t>daily</w:t>
      </w:r>
      <w:proofErr w:type="spellEnd"/>
      <w:r w:rsidRPr="00B52633">
        <w:rPr>
          <w:szCs w:val="24"/>
          <w:lang w:val="es-ES_tradnl"/>
        </w:rPr>
        <w:t xml:space="preserve">, </w:t>
      </w:r>
      <w:proofErr w:type="spellStart"/>
      <w:r w:rsidRPr="00B52633">
        <w:rPr>
          <w:szCs w:val="24"/>
          <w:lang w:val="es-ES_tradnl"/>
        </w:rPr>
        <w:t>Platts</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EPD: Electric </w:t>
      </w:r>
      <w:proofErr w:type="spellStart"/>
      <w:r w:rsidRPr="00B52633">
        <w:rPr>
          <w:szCs w:val="24"/>
          <w:lang w:val="es-ES_tradnl"/>
        </w:rPr>
        <w:t>power</w:t>
      </w:r>
      <w:proofErr w:type="spellEnd"/>
      <w:r w:rsidRPr="00B52633">
        <w:rPr>
          <w:szCs w:val="24"/>
          <w:lang w:val="es-ES_tradnl"/>
        </w:rPr>
        <w:t xml:space="preserve"> </w:t>
      </w:r>
      <w:proofErr w:type="spellStart"/>
      <w:r w:rsidRPr="00B52633">
        <w:rPr>
          <w:szCs w:val="24"/>
          <w:lang w:val="es-ES_tradnl"/>
        </w:rPr>
        <w:t>daily</w:t>
      </w:r>
      <w:proofErr w:type="spellEnd"/>
      <w:r w:rsidRPr="00B52633">
        <w:rPr>
          <w:szCs w:val="24"/>
          <w:lang w:val="es-ES_tradnl"/>
        </w:rPr>
        <w:t xml:space="preserve">, </w:t>
      </w:r>
      <w:proofErr w:type="spellStart"/>
      <w:r w:rsidRPr="00B52633">
        <w:rPr>
          <w:szCs w:val="24"/>
          <w:lang w:val="es-ES_tradnl"/>
        </w:rPr>
        <w:t>Platts</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EU- ETS: Emission Trading System; Comercio de derechos de emisión europeos.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EUE: EU </w:t>
      </w:r>
      <w:proofErr w:type="spellStart"/>
      <w:r w:rsidRPr="00B52633">
        <w:rPr>
          <w:szCs w:val="24"/>
          <w:lang w:val="es-ES_tradnl"/>
        </w:rPr>
        <w:t>Energy</w:t>
      </w:r>
      <w:proofErr w:type="spellEnd"/>
      <w:r w:rsidRPr="00B52633">
        <w:rPr>
          <w:szCs w:val="24"/>
          <w:lang w:val="es-ES_tradnl"/>
        </w:rPr>
        <w:t xml:space="preserve">, </w:t>
      </w:r>
      <w:proofErr w:type="spellStart"/>
      <w:r w:rsidRPr="00B52633">
        <w:rPr>
          <w:szCs w:val="24"/>
          <w:lang w:val="es-ES_tradnl"/>
        </w:rPr>
        <w:t>Platts</w:t>
      </w:r>
      <w:proofErr w:type="spellEnd"/>
      <w:r w:rsidRPr="00B52633">
        <w:rPr>
          <w:szCs w:val="24"/>
          <w:lang w:val="es-ES_tradnl"/>
        </w:rPr>
        <w:t>.</w:t>
      </w:r>
    </w:p>
    <w:p w:rsidR="00B52633" w:rsidRPr="00B52633" w:rsidRDefault="00B677F1" w:rsidP="00B52633">
      <w:pPr>
        <w:spacing w:before="100" w:beforeAutospacing="1" w:after="100" w:afterAutospacing="1" w:line="276" w:lineRule="auto"/>
        <w:rPr>
          <w:szCs w:val="24"/>
          <w:lang w:val="es-ES_tradnl"/>
        </w:rPr>
      </w:pPr>
      <w:r>
        <w:rPr>
          <w:szCs w:val="24"/>
          <w:lang w:val="es-ES_tradnl"/>
        </w:rPr>
        <w:t>€</w:t>
      </w:r>
      <w:r w:rsidR="00B52633" w:rsidRPr="00B52633">
        <w:rPr>
          <w:szCs w:val="24"/>
          <w:lang w:val="es-ES_tradnl"/>
        </w:rPr>
        <w:t>: Euro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FERC: Federal Energy Regulatory Commission. Comisión federal de regulación energética estadounidense.</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FIT: Feed in tariffs. Tarifas fijas.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GEI: Gases de Efecto Invernadero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ISO: Independent system operator. Operador independiente del sistema.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ISO NE: ISO New England. </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MISO: Midwest independent system operator. Incluye gran parte de North Dakota, South Dakota, Nebraska, Minnesota, Iowa, Wisconsin, Illinois, Indiana, Michigan y partes deMontana, Mossouri, Kentucky y Ohio.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NOME: Nouvelle Organisation du Marché de l'Electricité. Ley de organización del mercado eléctrico francés.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PIE: </w:t>
      </w:r>
      <w:proofErr w:type="spellStart"/>
      <w:r w:rsidRPr="00B52633">
        <w:rPr>
          <w:szCs w:val="24"/>
          <w:lang w:val="es-ES_tradnl"/>
        </w:rPr>
        <w:t>Power</w:t>
      </w:r>
      <w:proofErr w:type="spellEnd"/>
      <w:r w:rsidRPr="00B52633">
        <w:rPr>
          <w:szCs w:val="24"/>
          <w:lang w:val="es-ES_tradnl"/>
        </w:rPr>
        <w:t xml:space="preserve"> in </w:t>
      </w:r>
      <w:proofErr w:type="spellStart"/>
      <w:r w:rsidRPr="00B52633">
        <w:rPr>
          <w:szCs w:val="24"/>
          <w:lang w:val="es-ES_tradnl"/>
        </w:rPr>
        <w:t>Europe</w:t>
      </w:r>
      <w:proofErr w:type="spellEnd"/>
      <w:r w:rsidRPr="00B52633">
        <w:rPr>
          <w:szCs w:val="24"/>
          <w:lang w:val="es-ES_tradnl"/>
        </w:rPr>
        <w:t xml:space="preserve">, </w:t>
      </w:r>
      <w:proofErr w:type="spellStart"/>
      <w:r w:rsidRPr="00B52633">
        <w:rPr>
          <w:szCs w:val="24"/>
          <w:lang w:val="es-ES_tradnl"/>
        </w:rPr>
        <w:t>Platts</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PJM </w:t>
      </w:r>
      <w:proofErr w:type="spellStart"/>
      <w:r w:rsidRPr="00B52633">
        <w:rPr>
          <w:szCs w:val="24"/>
          <w:lang w:val="es-ES_tradnl"/>
        </w:rPr>
        <w:t>Interconnection</w:t>
      </w:r>
      <w:proofErr w:type="spellEnd"/>
      <w:r w:rsidRPr="00B52633">
        <w:rPr>
          <w:szCs w:val="24"/>
          <w:lang w:val="es-ES_tradnl"/>
        </w:rPr>
        <w:t xml:space="preserve">: Organización regional de transporte de electricidad (regional </w:t>
      </w:r>
      <w:proofErr w:type="spellStart"/>
      <w:r w:rsidRPr="00B52633">
        <w:rPr>
          <w:szCs w:val="24"/>
          <w:lang w:val="es-ES_tradnl"/>
        </w:rPr>
        <w:t>transmission</w:t>
      </w:r>
      <w:proofErr w:type="spellEnd"/>
      <w:r w:rsidRPr="00B52633">
        <w:rPr>
          <w:szCs w:val="24"/>
          <w:lang w:val="es-ES_tradnl"/>
        </w:rPr>
        <w:t xml:space="preserve"> </w:t>
      </w:r>
      <w:proofErr w:type="spellStart"/>
      <w:r w:rsidRPr="00B52633">
        <w:rPr>
          <w:szCs w:val="24"/>
          <w:lang w:val="es-ES_tradnl"/>
        </w:rPr>
        <w:t>organization</w:t>
      </w:r>
      <w:proofErr w:type="spellEnd"/>
      <w:r w:rsidRPr="00B52633">
        <w:rPr>
          <w:szCs w:val="24"/>
          <w:lang w:val="es-ES_tradnl"/>
        </w:rPr>
        <w:t xml:space="preserve"> -RTO) que coordina los movimientos de electricidad mayoristas en parte o en su totalidad de los siguientes estados: Delaware, Illinois, Indiana, Kentucky, Maryland, Michigan, New Jersey, North Carolina, Ohio, Pennsylvania, Tennessee, Virginia, West Virginia y el Distrito de Columbia.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PTC: Production tax credit.</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PPA: Power Purchase Agreements. Acuerdos de compra de energía.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PUC: </w:t>
      </w:r>
      <w:proofErr w:type="spellStart"/>
      <w:r w:rsidRPr="00B52633">
        <w:rPr>
          <w:szCs w:val="24"/>
          <w:lang w:val="es-ES_tradnl"/>
        </w:rPr>
        <w:t>Public</w:t>
      </w:r>
      <w:proofErr w:type="spellEnd"/>
      <w:r w:rsidRPr="00B52633">
        <w:rPr>
          <w:szCs w:val="24"/>
          <w:lang w:val="es-ES_tradnl"/>
        </w:rPr>
        <w:t xml:space="preserve"> </w:t>
      </w:r>
      <w:proofErr w:type="spellStart"/>
      <w:r w:rsidRPr="00B52633">
        <w:rPr>
          <w:szCs w:val="24"/>
          <w:lang w:val="es-ES_tradnl"/>
        </w:rPr>
        <w:t>Utility</w:t>
      </w:r>
      <w:proofErr w:type="spellEnd"/>
      <w:r w:rsidRPr="00B52633">
        <w:rPr>
          <w:szCs w:val="24"/>
          <w:lang w:val="es-ES_tradnl"/>
        </w:rPr>
        <w:t xml:space="preserve"> </w:t>
      </w:r>
      <w:proofErr w:type="spellStart"/>
      <w:r w:rsidRPr="00B52633">
        <w:rPr>
          <w:szCs w:val="24"/>
          <w:lang w:val="es-ES_tradnl"/>
        </w:rPr>
        <w:t>Commission</w:t>
      </w:r>
      <w:proofErr w:type="spellEnd"/>
      <w:r w:rsidRPr="00B52633">
        <w:rPr>
          <w:szCs w:val="24"/>
          <w:lang w:val="es-ES_tradnl"/>
        </w:rPr>
        <w:t xml:space="preserve">. Agencias que regulan a nivel estatal las </w:t>
      </w:r>
      <w:proofErr w:type="spellStart"/>
      <w:r w:rsidRPr="00B52633">
        <w:rPr>
          <w:szCs w:val="24"/>
          <w:lang w:val="es-ES_tradnl"/>
        </w:rPr>
        <w:t>utilities</w:t>
      </w:r>
      <w:proofErr w:type="spellEnd"/>
      <w:r w:rsidRPr="00B52633">
        <w:rPr>
          <w:szCs w:val="24"/>
          <w:lang w:val="es-ES_tradnl"/>
        </w:rPr>
        <w:t xml:space="preserve"> de servicios esenciales.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REC: </w:t>
      </w:r>
      <w:proofErr w:type="spellStart"/>
      <w:r w:rsidRPr="00B52633">
        <w:rPr>
          <w:szCs w:val="24"/>
          <w:lang w:val="es-ES_tradnl"/>
        </w:rPr>
        <w:t>renewable</w:t>
      </w:r>
      <w:proofErr w:type="spellEnd"/>
      <w:r w:rsidRPr="00B52633">
        <w:rPr>
          <w:szCs w:val="24"/>
          <w:lang w:val="es-ES_tradnl"/>
        </w:rPr>
        <w:t xml:space="preserve"> </w:t>
      </w:r>
      <w:proofErr w:type="spellStart"/>
      <w:r w:rsidRPr="00B52633">
        <w:rPr>
          <w:szCs w:val="24"/>
          <w:lang w:val="es-ES_tradnl"/>
        </w:rPr>
        <w:t>energy</w:t>
      </w:r>
      <w:proofErr w:type="spellEnd"/>
      <w:r w:rsidRPr="00B52633">
        <w:rPr>
          <w:szCs w:val="24"/>
          <w:lang w:val="es-ES_tradnl"/>
        </w:rPr>
        <w:t xml:space="preserve"> </w:t>
      </w:r>
      <w:proofErr w:type="spellStart"/>
      <w:r w:rsidRPr="00B52633">
        <w:rPr>
          <w:szCs w:val="24"/>
          <w:lang w:val="es-ES_tradnl"/>
        </w:rPr>
        <w:t>credits</w:t>
      </w:r>
      <w:proofErr w:type="spellEnd"/>
      <w:r w:rsidRPr="00B52633">
        <w:rPr>
          <w:szCs w:val="24"/>
          <w:lang w:val="es-ES_tradnl"/>
        </w:rPr>
        <w:t>. Es un crédito fiscal ofrecido por una autoridad fiscal local o federal como incentivo para la instalación y operación de energía renovable.</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REMIT: Regulation on energy market integrity and transparency.</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RER: </w:t>
      </w:r>
      <w:proofErr w:type="spellStart"/>
      <w:r w:rsidRPr="00B52633">
        <w:rPr>
          <w:szCs w:val="24"/>
          <w:lang w:val="es-ES_tradnl"/>
        </w:rPr>
        <w:t>Renewable</w:t>
      </w:r>
      <w:proofErr w:type="spellEnd"/>
      <w:r w:rsidRPr="00B52633">
        <w:rPr>
          <w:szCs w:val="24"/>
          <w:lang w:val="es-ES_tradnl"/>
        </w:rPr>
        <w:t xml:space="preserve"> </w:t>
      </w:r>
      <w:proofErr w:type="spellStart"/>
      <w:r w:rsidRPr="00B52633">
        <w:rPr>
          <w:szCs w:val="24"/>
          <w:lang w:val="es-ES_tradnl"/>
        </w:rPr>
        <w:t>Energy</w:t>
      </w:r>
      <w:proofErr w:type="spellEnd"/>
      <w:r w:rsidRPr="00B52633">
        <w:rPr>
          <w:szCs w:val="24"/>
          <w:lang w:val="es-ES_tradnl"/>
        </w:rPr>
        <w:t xml:space="preserve"> </w:t>
      </w:r>
      <w:proofErr w:type="spellStart"/>
      <w:r w:rsidRPr="00B52633">
        <w:rPr>
          <w:szCs w:val="24"/>
          <w:lang w:val="es-ES_tradnl"/>
        </w:rPr>
        <w:t>Report</w:t>
      </w:r>
      <w:proofErr w:type="spellEnd"/>
      <w:r w:rsidRPr="00B52633">
        <w:rPr>
          <w:szCs w:val="24"/>
          <w:lang w:val="es-ES_tradnl"/>
        </w:rPr>
        <w:t xml:space="preserve">, </w:t>
      </w:r>
      <w:proofErr w:type="spellStart"/>
      <w:r w:rsidRPr="00B52633">
        <w:rPr>
          <w:szCs w:val="24"/>
          <w:lang w:val="es-ES_tradnl"/>
        </w:rPr>
        <w:t>Platts</w:t>
      </w:r>
      <w:proofErr w:type="spellEnd"/>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ROI  (Return on Investments): ROI = ((Beneficios – Inversión) / Inversión) x 100.</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RPS: renewable portfolio standard. </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RTO: Regional transmission operator. Operador regional de transporte.</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RTE: </w:t>
      </w:r>
      <w:proofErr w:type="spellStart"/>
      <w:r w:rsidRPr="00B52633">
        <w:rPr>
          <w:szCs w:val="24"/>
          <w:lang w:val="es-ES_tradnl"/>
        </w:rPr>
        <w:t>Réseau</w:t>
      </w:r>
      <w:proofErr w:type="spellEnd"/>
      <w:r w:rsidRPr="00B52633">
        <w:rPr>
          <w:szCs w:val="24"/>
          <w:lang w:val="es-ES_tradnl"/>
        </w:rPr>
        <w:t xml:space="preserve"> de </w:t>
      </w:r>
      <w:proofErr w:type="spellStart"/>
      <w:r w:rsidRPr="00B52633">
        <w:rPr>
          <w:szCs w:val="24"/>
          <w:lang w:val="es-ES_tradnl"/>
        </w:rPr>
        <w:t>transport</w:t>
      </w:r>
      <w:proofErr w:type="spellEnd"/>
      <w:r w:rsidRPr="00B52633">
        <w:rPr>
          <w:szCs w:val="24"/>
          <w:lang w:val="es-ES_tradnl"/>
        </w:rPr>
        <w:t xml:space="preserve"> </w:t>
      </w:r>
      <w:proofErr w:type="spellStart"/>
      <w:r w:rsidRPr="00B52633">
        <w:rPr>
          <w:szCs w:val="24"/>
          <w:lang w:val="es-ES_tradnl"/>
        </w:rPr>
        <w:t>d’électricité</w:t>
      </w:r>
      <w:proofErr w:type="spellEnd"/>
      <w:r w:rsidRPr="00B52633">
        <w:rPr>
          <w:szCs w:val="24"/>
          <w:lang w:val="es-ES_tradnl"/>
        </w:rPr>
        <w:t>, operador de red francés.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SER : Syndicat des énergies renouvelables. Asociación de productores de energías renovables francés.</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UE: Unión Europea</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USD: </w:t>
      </w:r>
      <w:proofErr w:type="spellStart"/>
      <w:r w:rsidRPr="00B52633">
        <w:rPr>
          <w:szCs w:val="24"/>
          <w:lang w:val="es-ES_tradnl"/>
        </w:rPr>
        <w:t>Dolar</w:t>
      </w:r>
      <w:proofErr w:type="spellEnd"/>
      <w:r w:rsidRPr="00B52633">
        <w:rPr>
          <w:szCs w:val="24"/>
          <w:lang w:val="es-ES_tradnl"/>
        </w:rPr>
        <w:t xml:space="preserve"> Americano</w:t>
      </w:r>
    </w:p>
    <w:p w:rsidR="00B52633" w:rsidRPr="00B52633" w:rsidRDefault="00B52633" w:rsidP="00B52633">
      <w:pPr>
        <w:spacing w:before="100" w:beforeAutospacing="1" w:after="100" w:afterAutospacing="1" w:line="276" w:lineRule="auto"/>
        <w:rPr>
          <w:szCs w:val="24"/>
          <w:lang w:val="es-ES_tradnl"/>
        </w:rPr>
      </w:pPr>
      <w:r w:rsidRPr="00B52633">
        <w:rPr>
          <w:szCs w:val="24"/>
          <w:lang w:val="es-ES_tradnl"/>
        </w:rPr>
        <w:t xml:space="preserve">WCI: Western </w:t>
      </w:r>
      <w:proofErr w:type="spellStart"/>
      <w:r w:rsidRPr="00B52633">
        <w:rPr>
          <w:szCs w:val="24"/>
          <w:lang w:val="es-ES_tradnl"/>
        </w:rPr>
        <w:t>Climate</w:t>
      </w:r>
      <w:proofErr w:type="spellEnd"/>
      <w:r w:rsidRPr="00B52633">
        <w:rPr>
          <w:szCs w:val="24"/>
          <w:lang w:val="es-ES_tradnl"/>
        </w:rPr>
        <w:t xml:space="preserve"> </w:t>
      </w:r>
      <w:proofErr w:type="spellStart"/>
      <w:r w:rsidRPr="00B52633">
        <w:rPr>
          <w:szCs w:val="24"/>
          <w:lang w:val="es-ES_tradnl"/>
        </w:rPr>
        <w:t>Initiative</w:t>
      </w:r>
      <w:proofErr w:type="spellEnd"/>
      <w:r w:rsidRPr="00B52633">
        <w:rPr>
          <w:szCs w:val="24"/>
          <w:lang w:val="es-ES_tradnl"/>
        </w:rPr>
        <w:t xml:space="preserve">. Iniciativa de ciertas regiones y Estados de Norteamérica creada en 2007 para luchar contra el cambio climático. (Arizona, California, Montana, New </w:t>
      </w:r>
      <w:proofErr w:type="spellStart"/>
      <w:r w:rsidRPr="00B52633">
        <w:rPr>
          <w:szCs w:val="24"/>
          <w:lang w:val="es-ES_tradnl"/>
        </w:rPr>
        <w:t>Mexico</w:t>
      </w:r>
      <w:proofErr w:type="spellEnd"/>
      <w:r w:rsidRPr="00B52633">
        <w:rPr>
          <w:szCs w:val="24"/>
          <w:lang w:val="es-ES_tradnl"/>
        </w:rPr>
        <w:t xml:space="preserve">, </w:t>
      </w:r>
      <w:proofErr w:type="spellStart"/>
      <w:r w:rsidRPr="00B52633">
        <w:rPr>
          <w:szCs w:val="24"/>
          <w:lang w:val="es-ES_tradnl"/>
        </w:rPr>
        <w:t>Oregon</w:t>
      </w:r>
      <w:proofErr w:type="spellEnd"/>
      <w:r w:rsidRPr="00B52633">
        <w:rPr>
          <w:szCs w:val="24"/>
          <w:lang w:val="es-ES_tradnl"/>
        </w:rPr>
        <w:t xml:space="preserve">, Utah, Washington, British Columbia, Manitoba, Ontario, and Quebec). En noviembre de 2011 abandonaron Arizona, Montana, New </w:t>
      </w:r>
      <w:proofErr w:type="spellStart"/>
      <w:r w:rsidRPr="00B52633">
        <w:rPr>
          <w:szCs w:val="24"/>
          <w:lang w:val="es-ES_tradnl"/>
        </w:rPr>
        <w:t>Mexico</w:t>
      </w:r>
      <w:proofErr w:type="spellEnd"/>
      <w:r w:rsidRPr="00B52633">
        <w:rPr>
          <w:szCs w:val="24"/>
          <w:lang w:val="es-ES_tradnl"/>
        </w:rPr>
        <w:t xml:space="preserve">, </w:t>
      </w:r>
      <w:proofErr w:type="spellStart"/>
      <w:r w:rsidRPr="00B52633">
        <w:rPr>
          <w:szCs w:val="24"/>
          <w:lang w:val="es-ES_tradnl"/>
        </w:rPr>
        <w:t>Oregon</w:t>
      </w:r>
      <w:proofErr w:type="spellEnd"/>
      <w:r w:rsidRPr="00B52633">
        <w:rPr>
          <w:szCs w:val="24"/>
          <w:lang w:val="es-ES_tradnl"/>
        </w:rPr>
        <w:t>, Utah y Washington. Formada actualmente por British Columbia, California, Manitoba, Ontario y Quebec.</w:t>
      </w:r>
    </w:p>
    <w:p w:rsidR="000322F5" w:rsidRPr="00B52633" w:rsidRDefault="000322F5" w:rsidP="00B52633">
      <w:pPr>
        <w:spacing w:before="100" w:beforeAutospacing="1" w:after="100" w:afterAutospacing="1" w:line="276" w:lineRule="auto"/>
        <w:rPr>
          <w:szCs w:val="24"/>
          <w:lang w:val="es-ES_tradnl"/>
        </w:rPr>
      </w:pPr>
    </w:p>
    <w:sectPr w:rsidR="000322F5" w:rsidRPr="00B52633" w:rsidSect="005276F6">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F1" w:rsidRDefault="00B677F1" w:rsidP="006A35D8">
      <w:r>
        <w:separator/>
      </w:r>
    </w:p>
  </w:endnote>
  <w:endnote w:type="continuationSeparator" w:id="0">
    <w:p w:rsidR="00B677F1" w:rsidRDefault="00B677F1"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oneSerifStd-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1" w:rsidRDefault="00B677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B677F1" w:rsidRPr="00CF0576" w:rsidRDefault="00E3271B" w:rsidP="00CF0576">
        <w:pPr>
          <w:pStyle w:val="Piedepgina"/>
          <w:tabs>
            <w:tab w:val="clear" w:pos="8504"/>
            <w:tab w:val="right" w:pos="8789"/>
          </w:tabs>
          <w:spacing w:after="0"/>
          <w:jc w:val="center"/>
          <w:rPr>
            <w:szCs w:val="20"/>
          </w:rPr>
        </w:pPr>
        <w:r w:rsidRPr="00CF0576">
          <w:rPr>
            <w:szCs w:val="20"/>
          </w:rPr>
          <w:fldChar w:fldCharType="begin"/>
        </w:r>
        <w:r w:rsidR="00B677F1" w:rsidRPr="00CF0576">
          <w:rPr>
            <w:szCs w:val="20"/>
          </w:rPr>
          <w:instrText xml:space="preserve"> PAGE   \* MERGEFORMAT </w:instrText>
        </w:r>
        <w:r w:rsidRPr="00CF0576">
          <w:rPr>
            <w:szCs w:val="20"/>
          </w:rPr>
          <w:fldChar w:fldCharType="separate"/>
        </w:r>
        <w:r w:rsidR="00B62A0E">
          <w:rPr>
            <w:noProof/>
            <w:szCs w:val="20"/>
          </w:rPr>
          <w:t>1</w:t>
        </w:r>
        <w:r w:rsidRPr="00CF0576">
          <w:rPr>
            <w:szCs w:val="20"/>
          </w:rPr>
          <w:fldChar w:fldCharType="end"/>
        </w:r>
        <w:r w:rsidR="00B677F1" w:rsidRPr="00CF0576">
          <w:rPr>
            <w:szCs w:val="20"/>
          </w:rPr>
          <w:t xml:space="preserve"> </w:t>
        </w:r>
        <w:r w:rsidR="00B677F1" w:rsidRPr="00CF0576">
          <w:rPr>
            <w:rStyle w:val="Nmerodepgina"/>
            <w:szCs w:val="20"/>
          </w:rPr>
          <w:t xml:space="preserve">de </w:t>
        </w:r>
        <w:r w:rsidRPr="00CF0576">
          <w:rPr>
            <w:rStyle w:val="Nmerodepgina"/>
            <w:szCs w:val="20"/>
          </w:rPr>
          <w:fldChar w:fldCharType="begin"/>
        </w:r>
        <w:r w:rsidR="00B677F1" w:rsidRPr="00CF0576">
          <w:rPr>
            <w:rStyle w:val="Nmerodepgina"/>
            <w:szCs w:val="20"/>
          </w:rPr>
          <w:instrText xml:space="preserve"> NUMPAGES </w:instrText>
        </w:r>
        <w:r w:rsidRPr="00CF0576">
          <w:rPr>
            <w:rStyle w:val="Nmerodepgina"/>
            <w:szCs w:val="20"/>
          </w:rPr>
          <w:fldChar w:fldCharType="separate"/>
        </w:r>
        <w:r w:rsidR="00B62A0E">
          <w:rPr>
            <w:rStyle w:val="Nmerodepgina"/>
            <w:noProof/>
            <w:szCs w:val="20"/>
          </w:rPr>
          <w:t>14</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1" w:rsidRDefault="00B677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F1" w:rsidRDefault="00B677F1" w:rsidP="006A35D8">
      <w:r>
        <w:separator/>
      </w:r>
    </w:p>
  </w:footnote>
  <w:footnote w:type="continuationSeparator" w:id="0">
    <w:p w:rsidR="00B677F1" w:rsidRDefault="00B677F1"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1" w:rsidRDefault="00B677F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1" w:rsidRDefault="00B677F1"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B677F1" w:rsidRDefault="00B677F1" w:rsidP="006A35D8">
    <w:pPr>
      <w:pStyle w:val="Encabezado"/>
      <w:jc w:val="center"/>
    </w:pPr>
  </w:p>
  <w:p w:rsidR="00B677F1" w:rsidRDefault="00B677F1"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F1" w:rsidRDefault="00B677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409"/>
    <w:multiLevelType w:val="hybridMultilevel"/>
    <w:tmpl w:val="9CBEAEB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7D80A68"/>
    <w:multiLevelType w:val="hybridMultilevel"/>
    <w:tmpl w:val="CBA6435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5B09F2"/>
    <w:multiLevelType w:val="hybridMultilevel"/>
    <w:tmpl w:val="5E22C0E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561AE"/>
    <w:multiLevelType w:val="hybridMultilevel"/>
    <w:tmpl w:val="1E9CB0A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8343292"/>
    <w:multiLevelType w:val="hybridMultilevel"/>
    <w:tmpl w:val="5A90CD42"/>
    <w:lvl w:ilvl="0" w:tplc="157C899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color w:val="auto"/>
      </w:rPr>
    </w:lvl>
    <w:lvl w:ilvl="2" w:tplc="0C0A0005">
      <w:start w:val="1"/>
      <w:numFmt w:val="decimal"/>
      <w:lvlText w:val="%3."/>
      <w:lvlJc w:val="left"/>
      <w:pPr>
        <w:tabs>
          <w:tab w:val="num" w:pos="2160"/>
        </w:tabs>
        <w:ind w:left="2160" w:hanging="360"/>
      </w:pPr>
      <w:rPr>
        <w:rFonts w:cs="Times New Roman"/>
      </w:rPr>
    </w:lvl>
    <w:lvl w:ilvl="3" w:tplc="0C0A0001">
      <w:start w:val="1"/>
      <w:numFmt w:val="bullet"/>
      <w:lvlText w:val=""/>
      <w:lvlJc w:val="left"/>
      <w:pPr>
        <w:tabs>
          <w:tab w:val="num" w:pos="2520"/>
        </w:tabs>
        <w:ind w:left="2520" w:hanging="360"/>
      </w:pPr>
      <w:rPr>
        <w:rFonts w:ascii="Symbol" w:hAnsi="Symbol" w:hint="default"/>
        <w:color w:val="auto"/>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22C23471"/>
    <w:multiLevelType w:val="hybridMultilevel"/>
    <w:tmpl w:val="2898B732"/>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EF477A"/>
    <w:multiLevelType w:val="hybridMultilevel"/>
    <w:tmpl w:val="B53EB8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2C6A3E"/>
    <w:multiLevelType w:val="hybridMultilevel"/>
    <w:tmpl w:val="1C38E37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5EB43F4"/>
    <w:multiLevelType w:val="hybridMultilevel"/>
    <w:tmpl w:val="7302A09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F6D7856"/>
    <w:multiLevelType w:val="hybridMultilevel"/>
    <w:tmpl w:val="902EB3A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62F294C"/>
    <w:multiLevelType w:val="hybridMultilevel"/>
    <w:tmpl w:val="E04C78C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82331AB"/>
    <w:multiLevelType w:val="hybridMultilevel"/>
    <w:tmpl w:val="31BAF46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82D3325"/>
    <w:multiLevelType w:val="hybridMultilevel"/>
    <w:tmpl w:val="B644F89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9AF4A12"/>
    <w:multiLevelType w:val="hybridMultilevel"/>
    <w:tmpl w:val="9C96ACB2"/>
    <w:lvl w:ilvl="0" w:tplc="ABCA03FA">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12"/>
  </w:num>
  <w:num w:numId="4">
    <w:abstractNumId w:val="11"/>
  </w:num>
  <w:num w:numId="5">
    <w:abstractNumId w:val="10"/>
  </w:num>
  <w:num w:numId="6">
    <w:abstractNumId w:val="2"/>
  </w:num>
  <w:num w:numId="7">
    <w:abstractNumId w:val="6"/>
  </w:num>
  <w:num w:numId="8">
    <w:abstractNumId w:val="13"/>
  </w:num>
  <w:num w:numId="9">
    <w:abstractNumId w:val="1"/>
  </w:num>
  <w:num w:numId="10">
    <w:abstractNumId w:val="8"/>
  </w:num>
  <w:num w:numId="11">
    <w:abstractNumId w:val="7"/>
  </w:num>
  <w:num w:numId="12">
    <w:abstractNumId w:val="9"/>
  </w:num>
  <w:num w:numId="13">
    <w:abstractNumId w:val="0"/>
  </w:num>
  <w:num w:numId="14">
    <w:abstractNumId w:val="14"/>
  </w:num>
  <w:num w:numId="15">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1D037C"/>
    <w:rsid w:val="00000AA6"/>
    <w:rsid w:val="000111EE"/>
    <w:rsid w:val="000144E0"/>
    <w:rsid w:val="0002147B"/>
    <w:rsid w:val="00024E2D"/>
    <w:rsid w:val="00030844"/>
    <w:rsid w:val="000322F5"/>
    <w:rsid w:val="0004383F"/>
    <w:rsid w:val="00044DF7"/>
    <w:rsid w:val="00081F85"/>
    <w:rsid w:val="000977C8"/>
    <w:rsid w:val="000E6FD8"/>
    <w:rsid w:val="0010081F"/>
    <w:rsid w:val="001103F9"/>
    <w:rsid w:val="00120342"/>
    <w:rsid w:val="00134D73"/>
    <w:rsid w:val="00184D46"/>
    <w:rsid w:val="001853F8"/>
    <w:rsid w:val="00185FE4"/>
    <w:rsid w:val="001C63F2"/>
    <w:rsid w:val="001C747F"/>
    <w:rsid w:val="001D037C"/>
    <w:rsid w:val="001D2C58"/>
    <w:rsid w:val="001D7BD7"/>
    <w:rsid w:val="002059B7"/>
    <w:rsid w:val="00216695"/>
    <w:rsid w:val="00224954"/>
    <w:rsid w:val="00235905"/>
    <w:rsid w:val="00265165"/>
    <w:rsid w:val="00276FDB"/>
    <w:rsid w:val="002909CA"/>
    <w:rsid w:val="00297298"/>
    <w:rsid w:val="002B6CDF"/>
    <w:rsid w:val="002D3467"/>
    <w:rsid w:val="002D3561"/>
    <w:rsid w:val="002E1248"/>
    <w:rsid w:val="002E366F"/>
    <w:rsid w:val="002E3C29"/>
    <w:rsid w:val="002E5E34"/>
    <w:rsid w:val="002F67E7"/>
    <w:rsid w:val="00331275"/>
    <w:rsid w:val="00335B5F"/>
    <w:rsid w:val="003429D5"/>
    <w:rsid w:val="0035014B"/>
    <w:rsid w:val="0039158A"/>
    <w:rsid w:val="0039498E"/>
    <w:rsid w:val="003953CA"/>
    <w:rsid w:val="003F1D3E"/>
    <w:rsid w:val="003F43B0"/>
    <w:rsid w:val="003F52BF"/>
    <w:rsid w:val="004026DD"/>
    <w:rsid w:val="004249E5"/>
    <w:rsid w:val="00424D21"/>
    <w:rsid w:val="004372E7"/>
    <w:rsid w:val="00444984"/>
    <w:rsid w:val="00460B97"/>
    <w:rsid w:val="00495563"/>
    <w:rsid w:val="004D1E88"/>
    <w:rsid w:val="00506A94"/>
    <w:rsid w:val="00511A5E"/>
    <w:rsid w:val="005276F6"/>
    <w:rsid w:val="00527934"/>
    <w:rsid w:val="005B058E"/>
    <w:rsid w:val="005B71F7"/>
    <w:rsid w:val="005C0907"/>
    <w:rsid w:val="00600C49"/>
    <w:rsid w:val="00625AFA"/>
    <w:rsid w:val="006332AF"/>
    <w:rsid w:val="0065136F"/>
    <w:rsid w:val="00660838"/>
    <w:rsid w:val="00675058"/>
    <w:rsid w:val="006759D6"/>
    <w:rsid w:val="00682B5F"/>
    <w:rsid w:val="00686469"/>
    <w:rsid w:val="006A35D8"/>
    <w:rsid w:val="006A3909"/>
    <w:rsid w:val="006B5DAA"/>
    <w:rsid w:val="006C35BA"/>
    <w:rsid w:val="006D4B0E"/>
    <w:rsid w:val="006E1563"/>
    <w:rsid w:val="00741D2E"/>
    <w:rsid w:val="0074756B"/>
    <w:rsid w:val="00763821"/>
    <w:rsid w:val="00770032"/>
    <w:rsid w:val="007765B4"/>
    <w:rsid w:val="007A3BA5"/>
    <w:rsid w:val="007B603E"/>
    <w:rsid w:val="007B622D"/>
    <w:rsid w:val="007B76C4"/>
    <w:rsid w:val="007C5FA9"/>
    <w:rsid w:val="007E0631"/>
    <w:rsid w:val="007F0BDB"/>
    <w:rsid w:val="007F0C1E"/>
    <w:rsid w:val="007F62B8"/>
    <w:rsid w:val="00822644"/>
    <w:rsid w:val="0082341C"/>
    <w:rsid w:val="0083462B"/>
    <w:rsid w:val="0085069C"/>
    <w:rsid w:val="00870DCB"/>
    <w:rsid w:val="008C3AD4"/>
    <w:rsid w:val="008C7211"/>
    <w:rsid w:val="008D2E18"/>
    <w:rsid w:val="008E1F63"/>
    <w:rsid w:val="008E20B9"/>
    <w:rsid w:val="00900D0C"/>
    <w:rsid w:val="00930434"/>
    <w:rsid w:val="009659F9"/>
    <w:rsid w:val="00973ECD"/>
    <w:rsid w:val="00976C89"/>
    <w:rsid w:val="00982605"/>
    <w:rsid w:val="00991101"/>
    <w:rsid w:val="009B5396"/>
    <w:rsid w:val="009F7497"/>
    <w:rsid w:val="00A02AD5"/>
    <w:rsid w:val="00A16DE2"/>
    <w:rsid w:val="00A45DBD"/>
    <w:rsid w:val="00A654E5"/>
    <w:rsid w:val="00A85AE7"/>
    <w:rsid w:val="00AA3F4C"/>
    <w:rsid w:val="00AD45CA"/>
    <w:rsid w:val="00AD737D"/>
    <w:rsid w:val="00B00F78"/>
    <w:rsid w:val="00B52633"/>
    <w:rsid w:val="00B62A0E"/>
    <w:rsid w:val="00B6524E"/>
    <w:rsid w:val="00B677F1"/>
    <w:rsid w:val="00B9004C"/>
    <w:rsid w:val="00BA15A5"/>
    <w:rsid w:val="00BC426E"/>
    <w:rsid w:val="00BC49DA"/>
    <w:rsid w:val="00BD0002"/>
    <w:rsid w:val="00BD3927"/>
    <w:rsid w:val="00C101A6"/>
    <w:rsid w:val="00C261BA"/>
    <w:rsid w:val="00C275AD"/>
    <w:rsid w:val="00C52E86"/>
    <w:rsid w:val="00C63707"/>
    <w:rsid w:val="00C83A97"/>
    <w:rsid w:val="00C9656D"/>
    <w:rsid w:val="00CA5D0E"/>
    <w:rsid w:val="00CF0576"/>
    <w:rsid w:val="00D16F90"/>
    <w:rsid w:val="00D401EE"/>
    <w:rsid w:val="00D46215"/>
    <w:rsid w:val="00D53DBE"/>
    <w:rsid w:val="00D562A4"/>
    <w:rsid w:val="00D57B0C"/>
    <w:rsid w:val="00D66F22"/>
    <w:rsid w:val="00D80D14"/>
    <w:rsid w:val="00D876F9"/>
    <w:rsid w:val="00D8780D"/>
    <w:rsid w:val="00D9253D"/>
    <w:rsid w:val="00DC7678"/>
    <w:rsid w:val="00DE1C65"/>
    <w:rsid w:val="00DF4F41"/>
    <w:rsid w:val="00E05833"/>
    <w:rsid w:val="00E05893"/>
    <w:rsid w:val="00E3271B"/>
    <w:rsid w:val="00E56501"/>
    <w:rsid w:val="00E67527"/>
    <w:rsid w:val="00E7599C"/>
    <w:rsid w:val="00E82FE1"/>
    <w:rsid w:val="00EB72B7"/>
    <w:rsid w:val="00EC00AA"/>
    <w:rsid w:val="00EC2CFC"/>
    <w:rsid w:val="00EC2E9E"/>
    <w:rsid w:val="00F00369"/>
    <w:rsid w:val="00F04C2B"/>
    <w:rsid w:val="00F14997"/>
    <w:rsid w:val="00F3772B"/>
    <w:rsid w:val="00F63F4C"/>
    <w:rsid w:val="00F64609"/>
    <w:rsid w:val="00F70B21"/>
    <w:rsid w:val="00F70BE9"/>
    <w:rsid w:val="00F7159E"/>
    <w:rsid w:val="00F747F0"/>
    <w:rsid w:val="00F75422"/>
    <w:rsid w:val="00F86E68"/>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E7"/>
    <w:rPr>
      <w:rFonts w:ascii="Tahoma" w:eastAsia="Times New Roman" w:hAnsi="Tahoma" w:cs="Tahoma"/>
      <w:sz w:val="16"/>
      <w:szCs w:val="16"/>
    </w:rPr>
  </w:style>
  <w:style w:type="paragraph" w:styleId="Encabezado">
    <w:name w:val="header"/>
    <w:basedOn w:val="Normal"/>
    <w:link w:val="EncabezadoCar"/>
    <w:uiPriority w:val="99"/>
    <w:semiHidden/>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B9004C"/>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paragraph" w:styleId="Textonotapie">
    <w:name w:val="footnote text"/>
    <w:basedOn w:val="Normal"/>
    <w:link w:val="TextonotapieCar"/>
    <w:semiHidden/>
    <w:rsid w:val="00F747F0"/>
    <w:rPr>
      <w:rFonts w:ascii="Arial" w:hAnsi="Arial"/>
      <w:szCs w:val="20"/>
      <w:lang w:eastAsia="es-ES"/>
    </w:rPr>
  </w:style>
  <w:style w:type="character" w:customStyle="1" w:styleId="TextonotapieCar">
    <w:name w:val="Texto nota pie Car"/>
    <w:basedOn w:val="Fuentedeprrafopredeter"/>
    <w:link w:val="Textonotapie"/>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semiHidden/>
    <w:rsid w:val="00F747F0"/>
    <w:rPr>
      <w:vertAlign w:val="superscript"/>
    </w:rPr>
  </w:style>
  <w:style w:type="paragraph" w:customStyle="1" w:styleId="Default">
    <w:name w:val="Default"/>
    <w:rsid w:val="00E05893"/>
    <w:pPr>
      <w:autoSpaceDE w:val="0"/>
      <w:autoSpaceDN w:val="0"/>
      <w:adjustRightInd w:val="0"/>
      <w:jc w:val="left"/>
    </w:pPr>
    <w:rPr>
      <w:rFonts w:ascii="Arial" w:hAnsi="Arial" w:cs="Arial"/>
      <w:color w:val="000000"/>
      <w:sz w:val="24"/>
      <w:szCs w:val="24"/>
    </w:rPr>
  </w:style>
  <w:style w:type="character" w:styleId="Hipervnculovisitado">
    <w:name w:val="FollowedHyperlink"/>
    <w:basedOn w:val="Fuentedeprrafopredeter"/>
    <w:uiPriority w:val="99"/>
    <w:semiHidden/>
    <w:unhideWhenUsed/>
    <w:rsid w:val="00CA5D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r.fr/docs/2012115824_LivreBlancComplet.pdf" TargetMode="External"/><Relationship Id="rId13" Type="http://schemas.openxmlformats.org/officeDocument/2006/relationships/hyperlink" Target="http://ghgdata.epa.gov/ghgp/main.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undesnetzagentur.de/SharedDocs/Downloads/DE/BNetzA/Sachgebiete/Energie/Sonderthemen/SmartGridEckpunktepapier/SmartGridPapierpdf.pdf?__blob=publicationFi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g.info/pdf/Studies/F1134NL.pdf" TargetMode="External"/><Relationship Id="rId5" Type="http://schemas.openxmlformats.org/officeDocument/2006/relationships/webSettings" Target="webSettings.xml"/><Relationship Id="rId15" Type="http://schemas.openxmlformats.org/officeDocument/2006/relationships/hyperlink" Target="http://www.ercot.com/content/news/presentations/2012/2011%2520Constraints%2520and%2520Needs%2520Report.pdf" TargetMode="External"/><Relationship Id="rId23" Type="http://schemas.openxmlformats.org/officeDocument/2006/relationships/theme" Target="theme/theme1.xml"/><Relationship Id="rId10" Type="http://schemas.openxmlformats.org/officeDocument/2006/relationships/hyperlink" Target="http://www.theccc.org.uk/reports/household-energy-bil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ndaq.com/article.asp?articleid=164340&amp;print=1" TargetMode="External"/><Relationship Id="rId14" Type="http://schemas.openxmlformats.org/officeDocument/2006/relationships/hyperlink" Target="http://www.caiso.com/Documents/WhitePaper_CaliforniaGreenhouseGasCap_GenerationVariableCost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D395-06EE-4E23-AE35-926CB304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6045</Words>
  <Characters>31308</Characters>
  <Application>Microsoft Office Word</Application>
  <DocSecurity>0</DocSecurity>
  <Lines>455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2012-03-08T09:50:00Z</dcterms:created>
  <dcterms:modified xsi:type="dcterms:W3CDTF">2012-03-08T09:50:00Z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-139340707</vt:i4>
  </property>
  <property fmtid="{D5CDD505-2E9C-101B-9397-08002B2CF9AE}" pid="4" name="_NewReviewCycle">
    <vt:lpwstr/>
  </property>
</Properties>
</file>