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3E" w:rsidRDefault="00094419" w:rsidP="00030844">
      <w:pPr>
        <w:pStyle w:val="Ttulo1"/>
        <w:pBdr>
          <w:top w:val="single" w:sz="2" w:space="0" w:color="4F81BD"/>
        </w:pBdr>
        <w:tabs>
          <w:tab w:val="left" w:pos="284"/>
        </w:tabs>
      </w:pPr>
      <w:r>
        <w:t xml:space="preserve">seguimiento noticias regulación internacional </w:t>
      </w:r>
    </w:p>
    <w:p w:rsidR="00094419" w:rsidRPr="00094419" w:rsidRDefault="00094419" w:rsidP="00094419">
      <w:pPr>
        <w:jc w:val="center"/>
      </w:pPr>
      <w:r>
        <w:t>Mayo</w:t>
      </w:r>
      <w:r w:rsidR="00817A2F">
        <w:t xml:space="preserve"> </w:t>
      </w:r>
      <w:r>
        <w:t>- junio 2012</w:t>
      </w:r>
    </w:p>
    <w:p w:rsidR="0083462B" w:rsidRPr="007765B4" w:rsidRDefault="00094419" w:rsidP="007765B4">
      <w:pPr>
        <w:pStyle w:val="Ttulo2"/>
      </w:pPr>
      <w:r>
        <w:t>sumario</w:t>
      </w:r>
      <w:r w:rsidR="006A3909" w:rsidRPr="007765B4">
        <w:t xml:space="preserve">                                                                                                      </w:t>
      </w:r>
    </w:p>
    <w:p w:rsidR="00185FCF" w:rsidRPr="00185FCF" w:rsidRDefault="00185FCF" w:rsidP="00AE665A">
      <w:pPr>
        <w:pStyle w:val="Default"/>
        <w:spacing w:before="100" w:beforeAutospacing="1" w:after="100" w:afterAutospacing="1" w:line="276" w:lineRule="auto"/>
        <w:jc w:val="both"/>
        <w:rPr>
          <w:sz w:val="20"/>
          <w:szCs w:val="20"/>
        </w:rPr>
      </w:pPr>
      <w:r w:rsidRPr="00185FCF">
        <w:rPr>
          <w:sz w:val="20"/>
          <w:szCs w:val="20"/>
        </w:rPr>
        <w:t>Se resume</w:t>
      </w:r>
      <w:r w:rsidR="00817A2F">
        <w:rPr>
          <w:sz w:val="20"/>
          <w:szCs w:val="20"/>
        </w:rPr>
        <w:t>n</w:t>
      </w:r>
      <w:r w:rsidRPr="00185FCF">
        <w:rPr>
          <w:sz w:val="20"/>
          <w:szCs w:val="20"/>
        </w:rPr>
        <w:t xml:space="preserve"> las noticias sobre distintas iniciativas y novedades regulatorias dadas a conocer a lo largo del tercer bimestre del año 2012. </w:t>
      </w:r>
    </w:p>
    <w:p w:rsidR="00185FCF" w:rsidRPr="00185FCF" w:rsidRDefault="00185FCF" w:rsidP="00AE665A">
      <w:pPr>
        <w:pStyle w:val="Default"/>
        <w:spacing w:before="100" w:beforeAutospacing="1" w:after="100" w:afterAutospacing="1" w:line="276" w:lineRule="auto"/>
        <w:jc w:val="both"/>
        <w:rPr>
          <w:sz w:val="20"/>
          <w:szCs w:val="20"/>
        </w:rPr>
      </w:pPr>
      <w:r w:rsidRPr="00185FCF">
        <w:rPr>
          <w:sz w:val="20"/>
          <w:szCs w:val="20"/>
        </w:rPr>
        <w:t xml:space="preserve">Además del seguimiento del debate de las propuestas sobre el apoyo a las renovables en EE.UU., en esta ocasión referimos los puntos más relevantes de la nueva Presidencia de Chipre de la U.E. en el área energética y de la finalmente aprobada regulación alemana que reduce el apoyo a la futura solar </w:t>
      </w:r>
      <w:r w:rsidR="00BD0C2E">
        <w:rPr>
          <w:sz w:val="20"/>
          <w:szCs w:val="20"/>
        </w:rPr>
        <w:t>fotovoltaica</w:t>
      </w:r>
      <w:r w:rsidRPr="00185FCF">
        <w:rPr>
          <w:sz w:val="20"/>
          <w:szCs w:val="20"/>
        </w:rPr>
        <w:t>. Asimismo</w:t>
      </w:r>
      <w:r w:rsidR="00BD0C2E">
        <w:rPr>
          <w:sz w:val="20"/>
          <w:szCs w:val="20"/>
        </w:rPr>
        <w:t>,</w:t>
      </w:r>
      <w:r w:rsidRPr="00185FCF">
        <w:rPr>
          <w:sz w:val="20"/>
          <w:szCs w:val="20"/>
        </w:rPr>
        <w:t xml:space="preserve"> nos hacemos eco del inicio del mandato del presidente </w:t>
      </w:r>
      <w:proofErr w:type="spellStart"/>
      <w:r w:rsidRPr="00185FCF">
        <w:rPr>
          <w:sz w:val="20"/>
          <w:szCs w:val="20"/>
        </w:rPr>
        <w:t>Hollande</w:t>
      </w:r>
      <w:proofErr w:type="spellEnd"/>
      <w:r w:rsidRPr="00185FCF">
        <w:rPr>
          <w:sz w:val="20"/>
          <w:szCs w:val="20"/>
        </w:rPr>
        <w:t xml:space="preserve"> en Francia, que podría suponer la retirada de la Ley </w:t>
      </w:r>
      <w:proofErr w:type="spellStart"/>
      <w:r w:rsidRPr="00185FCF">
        <w:rPr>
          <w:sz w:val="20"/>
          <w:szCs w:val="20"/>
        </w:rPr>
        <w:t>Nome</w:t>
      </w:r>
      <w:proofErr w:type="spellEnd"/>
      <w:r w:rsidRPr="00185FCF">
        <w:rPr>
          <w:sz w:val="20"/>
          <w:szCs w:val="20"/>
        </w:rPr>
        <w:t xml:space="preserve"> y la reducción de la nuclear en el </w:t>
      </w:r>
      <w:proofErr w:type="spellStart"/>
      <w:r w:rsidRPr="00185FCF">
        <w:rPr>
          <w:sz w:val="20"/>
          <w:szCs w:val="20"/>
        </w:rPr>
        <w:t>mix</w:t>
      </w:r>
      <w:proofErr w:type="spellEnd"/>
      <w:r w:rsidRPr="00185FCF">
        <w:rPr>
          <w:sz w:val="20"/>
          <w:szCs w:val="20"/>
        </w:rPr>
        <w:t xml:space="preserve"> eléctrico francés</w:t>
      </w:r>
      <w:r w:rsidR="00817A2F">
        <w:rPr>
          <w:sz w:val="20"/>
          <w:szCs w:val="20"/>
        </w:rPr>
        <w:t>,</w:t>
      </w:r>
      <w:r w:rsidRPr="00185FCF">
        <w:rPr>
          <w:sz w:val="20"/>
          <w:szCs w:val="20"/>
        </w:rPr>
        <w:t xml:space="preserve"> y de los cambios en la normativa sobre balance neto en California. </w:t>
      </w:r>
    </w:p>
    <w:p w:rsidR="00185FCF" w:rsidRPr="00185FCF" w:rsidRDefault="00185FCF" w:rsidP="00AE665A">
      <w:pPr>
        <w:pStyle w:val="Default"/>
        <w:spacing w:before="100" w:beforeAutospacing="1" w:after="100" w:afterAutospacing="1" w:line="276" w:lineRule="auto"/>
        <w:jc w:val="both"/>
        <w:rPr>
          <w:sz w:val="20"/>
          <w:szCs w:val="20"/>
        </w:rPr>
      </w:pPr>
      <w:r w:rsidRPr="00185FCF">
        <w:rPr>
          <w:sz w:val="20"/>
          <w:szCs w:val="20"/>
        </w:rPr>
        <w:t>Por último</w:t>
      </w:r>
      <w:r w:rsidR="00BD0C2E">
        <w:rPr>
          <w:sz w:val="20"/>
          <w:szCs w:val="20"/>
        </w:rPr>
        <w:t>,</w:t>
      </w:r>
      <w:r w:rsidRPr="00185FCF">
        <w:rPr>
          <w:sz w:val="20"/>
          <w:szCs w:val="20"/>
        </w:rPr>
        <w:t xml:space="preserve"> se hacen</w:t>
      </w:r>
      <w:r w:rsidR="00BD0C2E">
        <w:rPr>
          <w:sz w:val="20"/>
          <w:szCs w:val="20"/>
        </w:rPr>
        <w:t xml:space="preserve"> menciones al anuncio de la República</w:t>
      </w:r>
      <w:r w:rsidRPr="00185FCF">
        <w:rPr>
          <w:sz w:val="20"/>
          <w:szCs w:val="20"/>
        </w:rPr>
        <w:t xml:space="preserve"> Checa de suprimir los subsidios a las renovables en 2014, al tiempo que su tribunal constitucional acaba de aprobar una tasa retroactiva sobre los beneficios a los productores solares. También</w:t>
      </w:r>
      <w:r w:rsidR="00BD0C2E">
        <w:rPr>
          <w:sz w:val="20"/>
          <w:szCs w:val="20"/>
        </w:rPr>
        <w:t>,</w:t>
      </w:r>
      <w:r w:rsidRPr="00185FCF">
        <w:rPr>
          <w:sz w:val="20"/>
          <w:szCs w:val="20"/>
        </w:rPr>
        <w:t xml:space="preserve"> se refieren diversos proyectos de infraestructuras en Europa y en EE.UU. y de refuerzo de la seguridad de suministro. </w:t>
      </w:r>
    </w:p>
    <w:p w:rsidR="00185FCF" w:rsidRPr="00185FCF" w:rsidRDefault="00185FCF" w:rsidP="00AE665A">
      <w:pPr>
        <w:spacing w:before="100" w:beforeAutospacing="1" w:after="100" w:afterAutospacing="1" w:line="276" w:lineRule="auto"/>
        <w:rPr>
          <w:szCs w:val="20"/>
        </w:rPr>
      </w:pPr>
      <w:r w:rsidRPr="00185FCF">
        <w:rPr>
          <w:szCs w:val="20"/>
        </w:rPr>
        <w:t xml:space="preserve">Se introduce al final de documento un glosario para mejor comprensión de las abreviaturas y acrónimos empleados. </w:t>
      </w:r>
    </w:p>
    <w:p w:rsidR="00185FCF" w:rsidRPr="00BF6F41" w:rsidRDefault="00185FCF" w:rsidP="00094419">
      <w:pPr>
        <w:pStyle w:val="Ttulo2"/>
      </w:pPr>
      <w:r w:rsidRPr="00BF6F41">
        <w:t>Temas de fondo</w:t>
      </w:r>
    </w:p>
    <w:p w:rsidR="00185FCF" w:rsidRDefault="00185FCF" w:rsidP="00094419">
      <w:pPr>
        <w:pStyle w:val="Ttulo3"/>
        <w:rPr>
          <w:lang w:val="es-ES_tradnl"/>
        </w:rPr>
      </w:pPr>
      <w:r>
        <w:rPr>
          <w:lang w:val="es-ES_tradnl"/>
        </w:rPr>
        <w:t>Extensión de los PTC en los EEUU</w:t>
      </w:r>
    </w:p>
    <w:p w:rsidR="005D1B71" w:rsidRDefault="00185FCF" w:rsidP="00094419">
      <w:pPr>
        <w:spacing w:before="100" w:beforeAutospacing="1" w:after="100" w:afterAutospacing="1" w:line="276" w:lineRule="auto"/>
      </w:pPr>
      <w:r>
        <w:t xml:space="preserve">El pasado 8 de mayo, </w:t>
      </w:r>
      <w:r w:rsidR="005B61CF">
        <w:t xml:space="preserve">el presidente </w:t>
      </w:r>
      <w:proofErr w:type="spellStart"/>
      <w:r>
        <w:t>Obama</w:t>
      </w:r>
      <w:proofErr w:type="spellEnd"/>
      <w:r>
        <w:t xml:space="preserve"> presentó ante el Congreso </w:t>
      </w:r>
      <w:r w:rsidR="005B61CF">
        <w:t>un paquete legislativo</w:t>
      </w:r>
      <w:r>
        <w:t xml:space="preserve"> que debería ser aprobada antes de las elecciones </w:t>
      </w:r>
      <w:r w:rsidR="005B61CF">
        <w:t xml:space="preserve">de noviembre </w:t>
      </w:r>
      <w:r>
        <w:t>para ayudar a la recuperación económica de los EE</w:t>
      </w:r>
      <w:r w:rsidR="00BD0C2E">
        <w:t>.</w:t>
      </w:r>
      <w:r>
        <w:t xml:space="preserve">UU. Incluida en esa lista </w:t>
      </w:r>
      <w:r w:rsidR="005B61CF">
        <w:t xml:space="preserve">se encuentra </w:t>
      </w:r>
      <w:r>
        <w:t>la extensión de los PTC</w:t>
      </w:r>
      <w:r w:rsidR="005B61CF">
        <w:t xml:space="preserve"> (</w:t>
      </w:r>
      <w:proofErr w:type="spellStart"/>
      <w:r w:rsidR="005B61CF" w:rsidRPr="005B61CF">
        <w:rPr>
          <w:i/>
        </w:rPr>
        <w:t>Production</w:t>
      </w:r>
      <w:proofErr w:type="spellEnd"/>
      <w:r w:rsidR="005B61CF" w:rsidRPr="005B61CF">
        <w:rPr>
          <w:i/>
        </w:rPr>
        <w:t xml:space="preserve"> </w:t>
      </w:r>
      <w:proofErr w:type="spellStart"/>
      <w:r w:rsidR="005B61CF" w:rsidRPr="005B61CF">
        <w:rPr>
          <w:i/>
        </w:rPr>
        <w:t>Tax</w:t>
      </w:r>
      <w:proofErr w:type="spellEnd"/>
      <w:r w:rsidR="005B61CF" w:rsidRPr="005B61CF">
        <w:rPr>
          <w:i/>
        </w:rPr>
        <w:t xml:space="preserve"> </w:t>
      </w:r>
      <w:proofErr w:type="spellStart"/>
      <w:r w:rsidR="005B61CF" w:rsidRPr="005B61CF">
        <w:rPr>
          <w:i/>
        </w:rPr>
        <w:t>Credit</w:t>
      </w:r>
      <w:proofErr w:type="spellEnd"/>
      <w:r w:rsidR="005B61CF">
        <w:t>)</w:t>
      </w:r>
      <w:r>
        <w:t xml:space="preserve">. </w:t>
      </w:r>
      <w:r w:rsidR="005D1B71" w:rsidRPr="005D1B71">
        <w:t xml:space="preserve">Pese a que dicha extensión está incluida en la lista de prioridades de </w:t>
      </w:r>
      <w:proofErr w:type="spellStart"/>
      <w:r w:rsidR="005D1B71" w:rsidRPr="005D1B71">
        <w:t>Obama</w:t>
      </w:r>
      <w:proofErr w:type="spellEnd"/>
      <w:r w:rsidR="005D1B71" w:rsidRPr="005D1B71">
        <w:t xml:space="preserve">, no significa que se pueda alterar el actual clima legislativo, por lo que es altamente improbable que el Congreso decida sobre este tema antes de las elecciones de noviembre. </w:t>
      </w:r>
      <w:proofErr w:type="spellStart"/>
      <w:r w:rsidR="005D1B71" w:rsidRPr="005D1B71">
        <w:t>Obama</w:t>
      </w:r>
      <w:proofErr w:type="spellEnd"/>
      <w:r w:rsidR="005D1B71" w:rsidRPr="005D1B71">
        <w:t xml:space="preserve"> desde el inicio de su campaña de reelección está reiterando su mensaje de apoyo al desarrollo de las renovables. Por otro lado, también debe tenerse presente que la extensión de los créditos fiscales es condición necesaria para revitalizar la instalación de renovables, aunque dados los bajos precios de la electricidad en el mercado, no sea condición </w:t>
      </w:r>
      <w:proofErr w:type="spellStart"/>
      <w:r w:rsidR="005D1B71" w:rsidRPr="005D1B71">
        <w:t>suficiente.</w:t>
      </w:r>
      <w:proofErr w:type="spellEnd"/>
    </w:p>
    <w:p w:rsidR="00185FCF" w:rsidRDefault="00185FCF" w:rsidP="005D1B71">
      <w:pPr>
        <w:spacing w:before="100" w:beforeAutospacing="1" w:after="100" w:afterAutospacing="1" w:line="276" w:lineRule="auto"/>
      </w:pPr>
      <w:r>
        <w:t>Ante la incertidumbre de la renovación de los PTC</w:t>
      </w:r>
      <w:r w:rsidR="005D1B71">
        <w:t xml:space="preserve"> (créditos fiscales equivalentes a 2,2 cent$/</w:t>
      </w:r>
      <w:proofErr w:type="spellStart"/>
      <w:r w:rsidR="005D1B71">
        <w:t>kWh</w:t>
      </w:r>
      <w:proofErr w:type="spellEnd"/>
      <w:r w:rsidR="005D1B71">
        <w:t>),</w:t>
      </w:r>
      <w:r>
        <w:t xml:space="preserve"> </w:t>
      </w:r>
      <w:r w:rsidR="00BD0C2E">
        <w:t>el gobierno está buscando una ví</w:t>
      </w:r>
      <w:r>
        <w:t>a de financiación alternativa del tipo “</w:t>
      </w:r>
      <w:proofErr w:type="spellStart"/>
      <w:r w:rsidRPr="00CA0276">
        <w:rPr>
          <w:i/>
        </w:rPr>
        <w:t>master</w:t>
      </w:r>
      <w:proofErr w:type="spellEnd"/>
      <w:r w:rsidRPr="00CA0276">
        <w:rPr>
          <w:i/>
        </w:rPr>
        <w:t xml:space="preserve"> </w:t>
      </w:r>
      <w:proofErr w:type="spellStart"/>
      <w:r w:rsidRPr="00CA0276">
        <w:rPr>
          <w:i/>
        </w:rPr>
        <w:t>limited</w:t>
      </w:r>
      <w:proofErr w:type="spellEnd"/>
      <w:r w:rsidRPr="00CA0276">
        <w:rPr>
          <w:i/>
        </w:rPr>
        <w:t xml:space="preserve"> </w:t>
      </w:r>
      <w:proofErr w:type="spellStart"/>
      <w:r w:rsidRPr="00CA0276">
        <w:rPr>
          <w:i/>
        </w:rPr>
        <w:t>partnership</w:t>
      </w:r>
      <w:proofErr w:type="spellEnd"/>
      <w:r w:rsidRPr="00CA0276">
        <w:rPr>
          <w:i/>
        </w:rPr>
        <w:t>” (MLP</w:t>
      </w:r>
      <w:r>
        <w:t xml:space="preserve">). </w:t>
      </w:r>
      <w:r w:rsidR="005D1B71">
        <w:lastRenderedPageBreak/>
        <w:t xml:space="preserve">La introducción de este vehículo </w:t>
      </w:r>
      <w:r>
        <w:t xml:space="preserve">permitiría a las empresas de renovables financiar sus proyectos mediante la agrupación de inversores bajo la figura del MLP, tal y como llevan haciendo las compañías de gas y electricidad desde principios de la década de 1980. </w:t>
      </w:r>
      <w:r w:rsidR="005D1B71">
        <w:t>Una</w:t>
      </w:r>
      <w:r>
        <w:t xml:space="preserve"> MLP </w:t>
      </w:r>
      <w:r w:rsidR="005D1B71">
        <w:t>supone una mancomunidad de participaciones libremente transferibles no sujeta al impuesto de sociedades.</w:t>
      </w:r>
      <w:r>
        <w:t xml:space="preserve"> Queda por ver si esta propuesta se verá como alternativa </w:t>
      </w:r>
      <w:r w:rsidR="00817A2F">
        <w:t xml:space="preserve">favorable </w:t>
      </w:r>
      <w:r>
        <w:t>a los PTC en el Congreso, o si los PTC se analizarán en la sesión del Congreso posterior a las elecciones de noviembre. (EUW 04.06)</w:t>
      </w:r>
      <w:r w:rsidR="00BD0C2E">
        <w:t xml:space="preserve"> y </w:t>
      </w:r>
      <w:r>
        <w:t>(EPD 08.06)</w:t>
      </w:r>
    </w:p>
    <w:p w:rsidR="00185FCF" w:rsidRDefault="00185FCF" w:rsidP="00094419">
      <w:pPr>
        <w:spacing w:before="100" w:beforeAutospacing="1" w:after="100" w:afterAutospacing="1" w:line="276" w:lineRule="auto"/>
      </w:pPr>
      <w:r>
        <w:t xml:space="preserve">Por otra parte, un grupo de senadores de estados </w:t>
      </w:r>
      <w:r w:rsidR="00817A2F">
        <w:t>productores de carbón</w:t>
      </w:r>
      <w:r>
        <w:t xml:space="preserve"> se oponen frontalmente a la propuesta de instauración del “</w:t>
      </w:r>
      <w:proofErr w:type="spellStart"/>
      <w:r w:rsidRPr="00036381">
        <w:rPr>
          <w:i/>
        </w:rPr>
        <w:t>Clean</w:t>
      </w:r>
      <w:proofErr w:type="spellEnd"/>
      <w:r w:rsidRPr="00036381">
        <w:rPr>
          <w:i/>
        </w:rPr>
        <w:t xml:space="preserve"> </w:t>
      </w:r>
      <w:proofErr w:type="spellStart"/>
      <w:r w:rsidRPr="00036381">
        <w:rPr>
          <w:i/>
        </w:rPr>
        <w:t>Energy</w:t>
      </w:r>
      <w:proofErr w:type="spellEnd"/>
      <w:r w:rsidRPr="00036381">
        <w:rPr>
          <w:i/>
        </w:rPr>
        <w:t xml:space="preserve"> Standard</w:t>
      </w:r>
      <w:r>
        <w:t>”</w:t>
      </w:r>
      <w:r w:rsidR="00BD0C2E">
        <w:t xml:space="preserve"> </w:t>
      </w:r>
      <w:r>
        <w:t>(CES) propuesto</w:t>
      </w:r>
      <w:r w:rsidR="005D1B71">
        <w:t xml:space="preserve"> hace meses</w:t>
      </w:r>
      <w:r>
        <w:t xml:space="preserve"> por el senador </w:t>
      </w:r>
      <w:proofErr w:type="spellStart"/>
      <w:r>
        <w:t>Bingamann</w:t>
      </w:r>
      <w:proofErr w:type="spellEnd"/>
      <w:r>
        <w:t>. Pese a que la propuesta incluye al carbón bajo la forma de CCS, varios estados creen que servirá para desplazar esta forma de energía por renovables o gas. Además</w:t>
      </w:r>
      <w:r w:rsidR="00BD0C2E">
        <w:t>,</w:t>
      </w:r>
      <w:r>
        <w:t xml:space="preserve"> afirman que los estados que posean menos recursos renovables acabarán siendo perjudicados al no poder cumplir los estándares fijados en el CES, por lo que deberían gozar de mayor flexibilidad en el cumplimiento de los objetivos para no ser penalizados. (EPD 18.05)</w:t>
      </w:r>
    </w:p>
    <w:p w:rsidR="00185FCF" w:rsidRDefault="00185FCF" w:rsidP="00094419">
      <w:pPr>
        <w:spacing w:before="100" w:beforeAutospacing="1" w:after="100" w:afterAutospacing="1" w:line="276" w:lineRule="auto"/>
      </w:pPr>
      <w:r>
        <w:t xml:space="preserve">Mientras, la campaña electoral </w:t>
      </w:r>
      <w:r w:rsidR="005D1B71">
        <w:t xml:space="preserve">se desarrolla con durísimas críticas de </w:t>
      </w:r>
      <w:r>
        <w:t xml:space="preserve">los republicanos a la agenda energética de </w:t>
      </w:r>
      <w:proofErr w:type="spellStart"/>
      <w:r>
        <w:t>Obama</w:t>
      </w:r>
      <w:proofErr w:type="spellEnd"/>
      <w:r>
        <w:t xml:space="preserve">, </w:t>
      </w:r>
      <w:r w:rsidR="00197E8B">
        <w:t xml:space="preserve">apoyándose en la publicación </w:t>
      </w:r>
      <w:r>
        <w:t xml:space="preserve">de un memorándum que </w:t>
      </w:r>
      <w:r w:rsidR="00197E8B">
        <w:t xml:space="preserve">pone de </w:t>
      </w:r>
      <w:r>
        <w:t>manifiest</w:t>
      </w:r>
      <w:r w:rsidR="00197E8B">
        <w:t>o</w:t>
      </w:r>
      <w:r>
        <w:t xml:space="preserve"> que el programa </w:t>
      </w:r>
      <w:proofErr w:type="spellStart"/>
      <w:r>
        <w:t>Seccion</w:t>
      </w:r>
      <w:proofErr w:type="spellEnd"/>
      <w:r>
        <w:t xml:space="preserve"> 1603 de la </w:t>
      </w:r>
      <w:proofErr w:type="spellStart"/>
      <w:r w:rsidRPr="006B3E88">
        <w:rPr>
          <w:i/>
        </w:rPr>
        <w:t>America</w:t>
      </w:r>
      <w:proofErr w:type="spellEnd"/>
      <w:r w:rsidRPr="006B3E88">
        <w:rPr>
          <w:i/>
        </w:rPr>
        <w:t xml:space="preserve"> </w:t>
      </w:r>
      <w:proofErr w:type="spellStart"/>
      <w:r w:rsidRPr="006B3E88">
        <w:rPr>
          <w:i/>
        </w:rPr>
        <w:t>Recovery</w:t>
      </w:r>
      <w:proofErr w:type="spellEnd"/>
      <w:r w:rsidRPr="006B3E88">
        <w:rPr>
          <w:i/>
        </w:rPr>
        <w:t xml:space="preserve"> and </w:t>
      </w:r>
      <w:proofErr w:type="spellStart"/>
      <w:r w:rsidRPr="006B3E88">
        <w:rPr>
          <w:i/>
        </w:rPr>
        <w:t>Investment</w:t>
      </w:r>
      <w:proofErr w:type="spellEnd"/>
      <w:r w:rsidRPr="006B3E88">
        <w:rPr>
          <w:i/>
        </w:rPr>
        <w:t xml:space="preserve"> </w:t>
      </w:r>
      <w:proofErr w:type="spellStart"/>
      <w:r w:rsidRPr="006B3E88">
        <w:rPr>
          <w:i/>
        </w:rPr>
        <w:t>Act</w:t>
      </w:r>
      <w:proofErr w:type="spellEnd"/>
      <w:r>
        <w:t xml:space="preserve"> de 2009 </w:t>
      </w:r>
      <w:r w:rsidR="00197E8B">
        <w:t>fue inútil en el mejor de los casos.</w:t>
      </w:r>
      <w:r>
        <w:t xml:space="preserve"> Las críticas se centran </w:t>
      </w:r>
      <w:r w:rsidR="0099764B">
        <w:t xml:space="preserve">en </w:t>
      </w:r>
      <w:r>
        <w:t>que las subvenciones a las renovables bajo este programa no han servido para crear los empleos que se estimaron en un primer momento, ya que se han concedido ayudas sin tener en cuenta este factor. Además</w:t>
      </w:r>
      <w:r w:rsidR="00BD0C2E">
        <w:t>,</w:t>
      </w:r>
      <w:r>
        <w:t xml:space="preserve"> critica que los receptores de las ayudas son fundamentalmente extranjeros. (IBEUSA 19.06)</w:t>
      </w:r>
    </w:p>
    <w:p w:rsidR="00185FCF" w:rsidRDefault="00185FCF" w:rsidP="00094419">
      <w:pPr>
        <w:spacing w:before="100" w:beforeAutospacing="1" w:after="100" w:afterAutospacing="1" w:line="276" w:lineRule="auto"/>
      </w:pPr>
      <w:r>
        <w:t xml:space="preserve">A la vista de las diferentes noticias, parece claro que el desarrollo futuro de las renovables dependerá claramente del resultado de las elecciones presidenciales de noviembre. </w:t>
      </w:r>
    </w:p>
    <w:p w:rsidR="00185FCF" w:rsidRDefault="00185FCF" w:rsidP="00094419">
      <w:pPr>
        <w:pStyle w:val="Ttulo3"/>
        <w:rPr>
          <w:lang w:val="es-ES_tradnl"/>
        </w:rPr>
      </w:pPr>
      <w:r w:rsidRPr="009D3574">
        <w:rPr>
          <w:lang w:val="es-ES_tradnl"/>
        </w:rPr>
        <w:t>Temas Europeos</w:t>
      </w:r>
    </w:p>
    <w:p w:rsidR="00185FCF" w:rsidRDefault="00185FCF" w:rsidP="00094419">
      <w:pPr>
        <w:spacing w:before="100" w:beforeAutospacing="1" w:after="100" w:afterAutospacing="1" w:line="276" w:lineRule="auto"/>
      </w:pPr>
      <w:r>
        <w:t>Finaliza la presidencia danesa que ha durando todo el primer semestre del año y se pasa el relevo a la Presidencia de Chipre. El principal logro de esta presidencia ha sido la consecución de un acuerdo sobre la Directiva de Eficiencia Energética, la cual está prevista que se apruebe por el P</w:t>
      </w:r>
      <w:r w:rsidR="00CC4A23">
        <w:t>arlamento Europeo en septiembre</w:t>
      </w:r>
      <w:r>
        <w:t xml:space="preserve"> y se publique en el DOUE en octubre.</w:t>
      </w:r>
    </w:p>
    <w:p w:rsidR="00185FCF" w:rsidRDefault="00185FCF" w:rsidP="00094419">
      <w:pPr>
        <w:spacing w:before="100" w:beforeAutospacing="1" w:after="100" w:afterAutospacing="1" w:line="276" w:lineRule="auto"/>
      </w:pPr>
      <w:r>
        <w:t>En julio comenzará la presidencia de Chipre, b</w:t>
      </w:r>
      <w:r w:rsidRPr="00A14004">
        <w:t>ajo e</w:t>
      </w:r>
      <w:r w:rsidR="00CC4A23">
        <w:t>l lema "Hacia una Europa mejor"</w:t>
      </w:r>
      <w:r>
        <w:t xml:space="preserve"> y sus</w:t>
      </w:r>
      <w:r w:rsidRPr="00A14004">
        <w:t xml:space="preserve"> prioridad</w:t>
      </w:r>
      <w:r>
        <w:t>es para los próximos seis meses</w:t>
      </w:r>
      <w:r w:rsidRPr="00A14004">
        <w:t xml:space="preserve"> incluyen el cumplimiento del marco financiero plurianual (MFP) y el fomento de las políticas sociales.</w:t>
      </w:r>
    </w:p>
    <w:p w:rsidR="00185FCF" w:rsidRDefault="00185FCF" w:rsidP="00094419">
      <w:pPr>
        <w:spacing w:before="100" w:beforeAutospacing="1" w:after="100" w:afterAutospacing="1" w:line="276" w:lineRule="auto"/>
      </w:pPr>
      <w:r>
        <w:t xml:space="preserve">En relación con el tema energético, Chipre seguirá trabajando en la consecución de los tres pilares energéticos: seguridad de suministro, competitividad y desarrollo sostenible. Las cinco prioridades a desarrollar serán: </w:t>
      </w:r>
    </w:p>
    <w:p w:rsidR="00185FCF" w:rsidRDefault="00185FCF" w:rsidP="00094419">
      <w:pPr>
        <w:spacing w:before="100" w:beforeAutospacing="1" w:after="100" w:afterAutospacing="1" w:line="276" w:lineRule="auto"/>
      </w:pPr>
      <w:r w:rsidRPr="006B3E88">
        <w:rPr>
          <w:b/>
        </w:rPr>
        <w:t xml:space="preserve">Infraestructuras </w:t>
      </w:r>
      <w:proofErr w:type="spellStart"/>
      <w:r w:rsidRPr="006B3E88">
        <w:rPr>
          <w:b/>
        </w:rPr>
        <w:t>transeuropeas</w:t>
      </w:r>
      <w:proofErr w:type="spellEnd"/>
      <w:r>
        <w:t>, con la finalización de las interconexiones necesarias entre los EEMM para conseguir un mercado único energético en 2014. Para conseguirlo</w:t>
      </w:r>
      <w:r w:rsidR="00CC4A23">
        <w:t>,</w:t>
      </w:r>
      <w:r>
        <w:t xml:space="preserve"> se trabajará en el Reglamento </w:t>
      </w:r>
      <w:r>
        <w:lastRenderedPageBreak/>
        <w:t xml:space="preserve">sobre infraestructuras energéticas, en el </w:t>
      </w:r>
      <w:r w:rsidR="0099764B">
        <w:t>desarrollo de los Proyectos de Interés C</w:t>
      </w:r>
      <w:r>
        <w:t>omún (PCI) y su financiación mediante el Reglamento de Conexión de instalaciones europeas.</w:t>
      </w:r>
    </w:p>
    <w:p w:rsidR="00185FCF" w:rsidRDefault="00185FCF" w:rsidP="00094419">
      <w:pPr>
        <w:spacing w:before="100" w:beforeAutospacing="1" w:after="100" w:afterAutospacing="1" w:line="276" w:lineRule="auto"/>
      </w:pPr>
      <w:r w:rsidRPr="006B3E88">
        <w:rPr>
          <w:b/>
        </w:rPr>
        <w:t>Eficiencia energética</w:t>
      </w:r>
      <w:r w:rsidR="00CC4A23">
        <w:t>: Se continúa</w:t>
      </w:r>
      <w:r>
        <w:t xml:space="preserve"> con la aprobación definitiva de la Directiva de eficiencia energética además de continuar con la tramitación d</w:t>
      </w:r>
      <w:r w:rsidR="001F0DA3">
        <w:t>el Reglamento sobre Etiquetado E</w:t>
      </w:r>
      <w:r>
        <w:t>nergético Eficiente “</w:t>
      </w:r>
      <w:proofErr w:type="spellStart"/>
      <w:r>
        <w:t>Energy</w:t>
      </w:r>
      <w:proofErr w:type="spellEnd"/>
      <w:r>
        <w:t xml:space="preserve"> </w:t>
      </w:r>
      <w:proofErr w:type="spellStart"/>
      <w:r>
        <w:t>Star</w:t>
      </w:r>
      <w:proofErr w:type="spellEnd"/>
      <w:r>
        <w:t>”.</w:t>
      </w:r>
    </w:p>
    <w:p w:rsidR="00185FCF" w:rsidRDefault="00185FCF" w:rsidP="00094419">
      <w:pPr>
        <w:spacing w:before="100" w:beforeAutospacing="1" w:after="100" w:afterAutospacing="1" w:line="276" w:lineRule="auto"/>
      </w:pPr>
      <w:r w:rsidRPr="006B3E88">
        <w:rPr>
          <w:b/>
        </w:rPr>
        <w:t>Seguridad de las actividades offshore</w:t>
      </w:r>
      <w:r>
        <w:t xml:space="preserve"> de prospección, exploración y producción de petróleo y gas.</w:t>
      </w:r>
    </w:p>
    <w:p w:rsidR="00185FCF" w:rsidRPr="0077108D" w:rsidRDefault="00185FCF" w:rsidP="00094419">
      <w:pPr>
        <w:spacing w:before="100" w:beforeAutospacing="1" w:after="100" w:afterAutospacing="1" w:line="276" w:lineRule="auto"/>
      </w:pPr>
      <w:r w:rsidRPr="006B3E88">
        <w:rPr>
          <w:b/>
        </w:rPr>
        <w:t>Fuentes de energ</w:t>
      </w:r>
      <w:r w:rsidR="00C636F4">
        <w:rPr>
          <w:b/>
        </w:rPr>
        <w:t>í</w:t>
      </w:r>
      <w:r w:rsidRPr="006B3E88">
        <w:rPr>
          <w:b/>
        </w:rPr>
        <w:t>a renovables</w:t>
      </w:r>
      <w:r>
        <w:t xml:space="preserve">: Chipre fomentará las discusiones sobre la penetración de las renovables así como las opciones para una mayor integración </w:t>
      </w:r>
      <w:r w:rsidR="00C636F4">
        <w:t>más allá</w:t>
      </w:r>
      <w:r>
        <w:t xml:space="preserve"> del año 2020 tal y como propone la Comunicación de la Comisión sobre el impacto de las energías renovables </w:t>
      </w:r>
    </w:p>
    <w:p w:rsidR="00185FCF" w:rsidRDefault="00185FCF" w:rsidP="00094419">
      <w:pPr>
        <w:spacing w:before="100" w:beforeAutospacing="1" w:after="100" w:afterAutospacing="1" w:line="276" w:lineRule="auto"/>
      </w:pPr>
      <w:r w:rsidRPr="006B3E88">
        <w:rPr>
          <w:b/>
        </w:rPr>
        <w:t>Mercado interno de la energía</w:t>
      </w:r>
      <w:r>
        <w:t>:</w:t>
      </w:r>
      <w:r w:rsidR="00C636F4">
        <w:t xml:space="preserve"> Chipre continuará</w:t>
      </w:r>
      <w:r>
        <w:t xml:space="preserve"> trabajando en la consecución de un mercado único para 2014</w:t>
      </w:r>
      <w:r w:rsidR="00C636F4">
        <w:t xml:space="preserve"> identificando los obstá</w:t>
      </w:r>
      <w:r>
        <w:t>culos que todavía existen para su consecución.</w:t>
      </w:r>
    </w:p>
    <w:p w:rsidR="00E7004E" w:rsidRPr="00E7004E" w:rsidRDefault="00E7004E" w:rsidP="00E7004E">
      <w:pPr>
        <w:spacing w:before="100" w:beforeAutospacing="1" w:after="100" w:afterAutospacing="1" w:line="276" w:lineRule="auto"/>
      </w:pPr>
      <w:r w:rsidRPr="00E7004E">
        <w:t>Por otro lado</w:t>
      </w:r>
      <w:r>
        <w:t>,</w:t>
      </w:r>
      <w:r w:rsidRPr="00E7004E">
        <w:t xml:space="preserve"> se ha llegado a un acuerdo sobre la Directiva de eficiencia energética, por lo que ya solamente queda esperar a su publicación oficial. Con la Directiva de Eficiencia Energética se quiere alcanzar el objetivo del 20% para 2020. La directiva establece medidas legales vinculantes para que los Estados miembros usen la energía de modo más eficiente en todos los estadios de la cadena energética: de la generación al consumo. </w:t>
      </w:r>
    </w:p>
    <w:p w:rsidR="00E7004E" w:rsidRPr="00E7004E" w:rsidRDefault="00E7004E" w:rsidP="00E7004E">
      <w:pPr>
        <w:pStyle w:val="Ttulo3"/>
      </w:pPr>
      <w:r w:rsidRPr="00E7004E">
        <w:t xml:space="preserve">Reducciones a la energía solar fotovoltaica en Alemania </w:t>
      </w:r>
    </w:p>
    <w:p w:rsidR="00E7004E" w:rsidRPr="009A0FB3" w:rsidRDefault="00E7004E" w:rsidP="00E7004E">
      <w:pPr>
        <w:spacing w:before="100" w:beforeAutospacing="1" w:after="100" w:afterAutospacing="1" w:line="276" w:lineRule="auto"/>
      </w:pPr>
      <w:r w:rsidRPr="00E7004E">
        <w:t>A mediados de marzo se aprobó en la cámara baja (</w:t>
      </w:r>
      <w:proofErr w:type="spellStart"/>
      <w:r w:rsidRPr="00E7004E">
        <w:t>Bundestag</w:t>
      </w:r>
      <w:proofErr w:type="spellEnd"/>
      <w:r w:rsidRPr="00E7004E">
        <w:t>) la legislación que suponía grandes recortes a la energía solar en Alemana. Posteriormente, la cámara alta (</w:t>
      </w:r>
      <w:proofErr w:type="spellStart"/>
      <w:r w:rsidRPr="00E7004E">
        <w:t>Bundesrat</w:t>
      </w:r>
      <w:proofErr w:type="spellEnd"/>
      <w:r w:rsidRPr="00E7004E">
        <w:t>) alegando que se ponían en peligro los empleos del sector, (como parece demostrar la quiebra de una de las compañías del sector) paralizó su aprobación definitiva, buscando renegociar la nueva legislación. Cinco días más tarde el ministro de encargado de las energías renovables fue destituido. (EUE 18.05). Posteriormente</w:t>
      </w:r>
      <w:r>
        <w:t>,</w:t>
      </w:r>
      <w:r w:rsidRPr="00E7004E">
        <w:t xml:space="preserve"> se pasó el tema a un Comité de Conciliación de ambas cámaras, ya que </w:t>
      </w:r>
      <w:proofErr w:type="spellStart"/>
      <w:r w:rsidRPr="00E7004E">
        <w:t>Merkel</w:t>
      </w:r>
      <w:proofErr w:type="spellEnd"/>
      <w:r w:rsidRPr="00E7004E">
        <w:t xml:space="preserve"> quiere que la legislación esté lista antes del receso del verano. (EUE 01.06). Ante la posibilidad del recorte de subsidios, en el primer trimestre del año se han instalado 1.800</w:t>
      </w:r>
      <w:r>
        <w:t xml:space="preserve"> </w:t>
      </w:r>
      <w:r w:rsidRPr="00E7004E">
        <w:t>MW de energía solar, lo que ha supuesto un record de capacidad instalada de 26,6</w:t>
      </w:r>
      <w:r>
        <w:t xml:space="preserve"> </w:t>
      </w:r>
      <w:r w:rsidRPr="00E7004E">
        <w:t xml:space="preserve">GW. (REM </w:t>
      </w:r>
      <w:proofErr w:type="spellStart"/>
      <w:r w:rsidRPr="00E7004E">
        <w:t>week</w:t>
      </w:r>
      <w:proofErr w:type="spellEnd"/>
      <w:r w:rsidRPr="00E7004E">
        <w:t xml:space="preserve"> 22). En la primera reunión del comité de conciliación del 14 de junio, no se llegó a un acuerdo teniendo plazo para renegociarlo hasta el 27 de junio. (GEB 14.06). El 27 de junio el </w:t>
      </w:r>
      <w:proofErr w:type="spellStart"/>
      <w:r w:rsidRPr="00E7004E">
        <w:t>Bundesrat</w:t>
      </w:r>
      <w:proofErr w:type="spellEnd"/>
      <w:r w:rsidRPr="00E7004E">
        <w:t xml:space="preserve"> comunicaba que se había llegado a un acuerdo. El texto prevé un </w:t>
      </w:r>
      <w:proofErr w:type="spellStart"/>
      <w:r w:rsidRPr="00E7004E">
        <w:t>cap</w:t>
      </w:r>
      <w:proofErr w:type="spellEnd"/>
      <w:r w:rsidRPr="00E7004E">
        <w:t xml:space="preserve"> solar de 52</w:t>
      </w:r>
      <w:r>
        <w:t xml:space="preserve"> </w:t>
      </w:r>
      <w:r w:rsidRPr="00E7004E">
        <w:t>GW para 2020, además de un “corredor” de instalaciones anuales de entre 2.500 y 3.500</w:t>
      </w:r>
      <w:r>
        <w:t xml:space="preserve"> </w:t>
      </w:r>
      <w:r w:rsidRPr="00E7004E">
        <w:t>MW. Se considera además la FIT para instalaciones de entre 10 y 40</w:t>
      </w:r>
      <w:r>
        <w:t xml:space="preserve"> </w:t>
      </w:r>
      <w:proofErr w:type="spellStart"/>
      <w:r w:rsidRPr="00E7004E">
        <w:t>kW</w:t>
      </w:r>
      <w:proofErr w:type="spellEnd"/>
      <w:r w:rsidRPr="00E7004E">
        <w:t xml:space="preserve"> de 18,5</w:t>
      </w:r>
      <w:r>
        <w:t xml:space="preserve"> </w:t>
      </w:r>
      <w:proofErr w:type="spellStart"/>
      <w:r w:rsidRPr="00E7004E">
        <w:t>ct</w:t>
      </w:r>
      <w:proofErr w:type="spellEnd"/>
      <w:r w:rsidRPr="00E7004E">
        <w:t>/</w:t>
      </w:r>
      <w:proofErr w:type="spellStart"/>
      <w:r w:rsidRPr="00E7004E">
        <w:t>kWh</w:t>
      </w:r>
      <w:proofErr w:type="spellEnd"/>
      <w:r w:rsidRPr="00E7004E">
        <w:t xml:space="preserve"> (en vez de los 16,5</w:t>
      </w:r>
      <w:r>
        <w:t xml:space="preserve"> </w:t>
      </w:r>
      <w:proofErr w:type="spellStart"/>
      <w:r w:rsidRPr="00E7004E">
        <w:t>ct</w:t>
      </w:r>
      <w:proofErr w:type="spellEnd"/>
      <w:r w:rsidRPr="00E7004E">
        <w:t>/</w:t>
      </w:r>
      <w:proofErr w:type="spellStart"/>
      <w:r w:rsidRPr="00E7004E">
        <w:t>kWh</w:t>
      </w:r>
      <w:proofErr w:type="spellEnd"/>
      <w:r w:rsidRPr="00E7004E">
        <w:t xml:space="preserve"> inicialmente planteados). Además</w:t>
      </w:r>
      <w:r>
        <w:t>,</w:t>
      </w:r>
      <w:r w:rsidRPr="00E7004E">
        <w:t xml:space="preserve"> las instalaciones superiores a 10</w:t>
      </w:r>
      <w:r>
        <w:t xml:space="preserve"> </w:t>
      </w:r>
      <w:r w:rsidRPr="00E7004E">
        <w:t>MW no recibirán FIT (</w:t>
      </w:r>
      <w:proofErr w:type="spellStart"/>
      <w:r w:rsidRPr="00E7004E">
        <w:t>Bundesrat</w:t>
      </w:r>
      <w:proofErr w:type="spellEnd"/>
      <w:r w:rsidRPr="00E7004E">
        <w:t xml:space="preserve"> 27.06). Estos recortes a la solar y las elecciones del próximo año (octubre 2013), no hacen más que añadir incertidumbre a un sector de vital importancia para Alemania, ahora que ha prescindido de la energía nuclear. (Rem </w:t>
      </w:r>
      <w:proofErr w:type="spellStart"/>
      <w:r w:rsidRPr="00E7004E">
        <w:t>Week</w:t>
      </w:r>
      <w:proofErr w:type="spellEnd"/>
      <w:r w:rsidRPr="00E7004E">
        <w:t xml:space="preserve"> 20).</w:t>
      </w:r>
    </w:p>
    <w:p w:rsidR="00185FCF" w:rsidRPr="00BF6F41" w:rsidRDefault="00185FCF" w:rsidP="00094419">
      <w:pPr>
        <w:pStyle w:val="Ttulo2"/>
      </w:pPr>
      <w:r>
        <w:lastRenderedPageBreak/>
        <w:t>Otras cuestiones de interés</w:t>
      </w:r>
    </w:p>
    <w:p w:rsidR="00185FCF" w:rsidRDefault="00185FCF" w:rsidP="00094419">
      <w:pPr>
        <w:pStyle w:val="Ttulo3"/>
        <w:rPr>
          <w:lang w:val="es-ES_tradnl"/>
        </w:rPr>
      </w:pPr>
      <w:r w:rsidRPr="00A42BB5">
        <w:rPr>
          <w:lang w:val="es-ES_tradnl"/>
        </w:rPr>
        <w:t>Europa – Energías Renovables, emisiones, eficiencia y otros temas de medio ambiente</w:t>
      </w:r>
    </w:p>
    <w:p w:rsidR="00185FCF" w:rsidRPr="00094419" w:rsidRDefault="00185FCF" w:rsidP="004B3809">
      <w:pPr>
        <w:pStyle w:val="Prrafodelista"/>
        <w:numPr>
          <w:ilvl w:val="0"/>
          <w:numId w:val="2"/>
        </w:numPr>
        <w:spacing w:before="100" w:beforeAutospacing="1" w:line="276" w:lineRule="auto"/>
        <w:ind w:left="284" w:hanging="284"/>
        <w:contextualSpacing/>
        <w:rPr>
          <w:rFonts w:asciiTheme="minorHAnsi" w:hAnsiTheme="minorHAnsi"/>
          <w:szCs w:val="24"/>
          <w:lang w:val="es-ES_tradnl"/>
        </w:rPr>
      </w:pPr>
      <w:r w:rsidRPr="00094419">
        <w:rPr>
          <w:rFonts w:asciiTheme="minorHAnsi" w:hAnsiTheme="minorHAnsi"/>
          <w:b/>
          <w:szCs w:val="24"/>
          <w:lang w:val="es-ES_tradnl"/>
        </w:rPr>
        <w:t>El Gobierno checo, el primero en eliminar los subsidios verdes</w:t>
      </w:r>
      <w:r w:rsidRPr="00094419">
        <w:rPr>
          <w:rFonts w:asciiTheme="minorHAnsi" w:hAnsiTheme="minorHAnsi"/>
          <w:szCs w:val="24"/>
          <w:lang w:val="es-ES_tradnl"/>
        </w:rPr>
        <w:t xml:space="preserve"> </w:t>
      </w:r>
      <w:r w:rsidRPr="00094419">
        <w:rPr>
          <w:rFonts w:asciiTheme="minorHAnsi" w:hAnsiTheme="minorHAnsi"/>
          <w:b/>
          <w:szCs w:val="24"/>
          <w:lang w:val="es-ES_tradnl"/>
        </w:rPr>
        <w:t>en 2014</w:t>
      </w:r>
      <w:r w:rsidRPr="00094419">
        <w:rPr>
          <w:rFonts w:asciiTheme="minorHAnsi" w:hAnsiTheme="minorHAnsi"/>
          <w:szCs w:val="24"/>
          <w:lang w:val="es-ES_tradnl"/>
        </w:rPr>
        <w:t>, al considerar que cumplirá con los objetivos de renovables mucho antes de lo previsto. (</w:t>
      </w:r>
      <w:proofErr w:type="spellStart"/>
      <w:r w:rsidRPr="00094419">
        <w:rPr>
          <w:rFonts w:asciiTheme="minorHAnsi" w:hAnsiTheme="minorHAnsi"/>
          <w:szCs w:val="24"/>
          <w:lang w:val="es-ES_tradnl"/>
        </w:rPr>
        <w:t>Energoweek</w:t>
      </w:r>
      <w:proofErr w:type="spellEnd"/>
      <w:r w:rsidRPr="00094419">
        <w:rPr>
          <w:rFonts w:asciiTheme="minorHAnsi" w:hAnsiTheme="minorHAnsi"/>
          <w:szCs w:val="24"/>
          <w:lang w:val="es-ES_tradnl"/>
        </w:rPr>
        <w:t xml:space="preserve"> 17)</w:t>
      </w:r>
      <w:r w:rsidRPr="00094419">
        <w:rPr>
          <w:rFonts w:asciiTheme="minorHAnsi" w:hAnsiTheme="minorHAnsi"/>
          <w:b/>
          <w:szCs w:val="24"/>
          <w:lang w:val="es-ES_tradnl"/>
        </w:rPr>
        <w:t xml:space="preserve"> </w:t>
      </w:r>
      <w:r w:rsidR="00C636F4" w:rsidRPr="00C636F4">
        <w:rPr>
          <w:rFonts w:asciiTheme="minorHAnsi" w:hAnsiTheme="minorHAnsi"/>
          <w:szCs w:val="24"/>
          <w:lang w:val="es-ES_tradnl"/>
        </w:rPr>
        <w:t xml:space="preserve">y </w:t>
      </w:r>
      <w:r w:rsidRPr="00094419">
        <w:rPr>
          <w:rFonts w:asciiTheme="minorHAnsi" w:hAnsiTheme="minorHAnsi"/>
          <w:szCs w:val="24"/>
          <w:lang w:val="es-ES_tradnl"/>
        </w:rPr>
        <w:t xml:space="preserve">(EUE 04.05). Además, </w:t>
      </w:r>
      <w:r w:rsidRPr="00094419">
        <w:rPr>
          <w:rFonts w:asciiTheme="minorHAnsi" w:hAnsiTheme="minorHAnsi"/>
          <w:b/>
          <w:szCs w:val="24"/>
          <w:lang w:val="es-ES_tradnl"/>
        </w:rPr>
        <w:t xml:space="preserve">el tribunal constitucional checo da el visto bueno a la tasa retroactiva a la energía solar propuesta por el Gobierno. </w:t>
      </w:r>
      <w:r w:rsidRPr="00094419">
        <w:rPr>
          <w:rFonts w:asciiTheme="minorHAnsi" w:hAnsiTheme="minorHAnsi"/>
          <w:szCs w:val="24"/>
          <w:lang w:val="es-ES_tradnl"/>
        </w:rPr>
        <w:t>Esta tasa del 26% se aplicará sobre los beneficios de todas las instalaciones solares conectadas a la red en 2009 y 2010. Esta tasa había encontrado oposición en algunos senadores pero el tribunal considera que es correcta su aplicación puesto que protege a los consumidores de aumentos en la electricidad. (EUE 01.06)</w:t>
      </w:r>
    </w:p>
    <w:p w:rsidR="00185FCF" w:rsidRPr="00094419" w:rsidRDefault="00185FCF" w:rsidP="004B3809">
      <w:pPr>
        <w:pStyle w:val="Prrafodelista"/>
        <w:numPr>
          <w:ilvl w:val="0"/>
          <w:numId w:val="2"/>
        </w:numPr>
        <w:spacing w:before="100" w:beforeAutospacing="1" w:line="276" w:lineRule="auto"/>
        <w:ind w:left="284" w:hanging="284"/>
        <w:contextualSpacing/>
        <w:rPr>
          <w:rFonts w:asciiTheme="minorHAnsi" w:hAnsiTheme="minorHAnsi"/>
          <w:szCs w:val="24"/>
          <w:lang w:val="es-ES_tradnl"/>
        </w:rPr>
      </w:pPr>
      <w:r w:rsidRPr="00094419">
        <w:rPr>
          <w:rFonts w:asciiTheme="minorHAnsi" w:hAnsiTheme="minorHAnsi"/>
          <w:b/>
          <w:szCs w:val="24"/>
          <w:lang w:val="es-ES_tradnl"/>
        </w:rPr>
        <w:t>El gobierno portugués propone cambios a su plan energético nacional de renovables</w:t>
      </w:r>
      <w:r w:rsidRPr="00094419">
        <w:rPr>
          <w:rFonts w:asciiTheme="minorHAnsi" w:hAnsiTheme="minorHAnsi"/>
          <w:szCs w:val="24"/>
          <w:lang w:val="es-ES_tradnl"/>
        </w:rPr>
        <w:t xml:space="preserve"> que podrían suponer la suspensión de la capacidad renovable que no disponga de licencia. También</w:t>
      </w:r>
      <w:r w:rsidR="00C636F4">
        <w:rPr>
          <w:rFonts w:asciiTheme="minorHAnsi" w:hAnsiTheme="minorHAnsi"/>
          <w:szCs w:val="24"/>
          <w:lang w:val="es-ES_tradnl"/>
        </w:rPr>
        <w:t>,</w:t>
      </w:r>
      <w:r w:rsidRPr="00094419">
        <w:rPr>
          <w:rFonts w:asciiTheme="minorHAnsi" w:hAnsiTheme="minorHAnsi"/>
          <w:szCs w:val="24"/>
          <w:lang w:val="es-ES_tradnl"/>
        </w:rPr>
        <w:t xml:space="preserve"> se quiere cambiar el plan nacional de eficiencia energética. Los recortes se deben a los cambios ocurridos desde que se realizó la planificación. (EUE 04.05)</w:t>
      </w:r>
    </w:p>
    <w:p w:rsidR="00185FCF" w:rsidRPr="00094419" w:rsidRDefault="00185FCF" w:rsidP="004B3809">
      <w:pPr>
        <w:pStyle w:val="Prrafodelista"/>
        <w:numPr>
          <w:ilvl w:val="0"/>
          <w:numId w:val="2"/>
        </w:numPr>
        <w:spacing w:before="100" w:beforeAutospacing="1" w:line="276" w:lineRule="auto"/>
        <w:ind w:left="284" w:hanging="284"/>
        <w:contextualSpacing/>
        <w:rPr>
          <w:rFonts w:asciiTheme="minorHAnsi" w:hAnsiTheme="minorHAnsi"/>
          <w:szCs w:val="24"/>
          <w:lang w:val="es-ES_tradnl"/>
        </w:rPr>
      </w:pPr>
      <w:r w:rsidRPr="00094419">
        <w:rPr>
          <w:rFonts w:asciiTheme="minorHAnsi" w:hAnsiTheme="minorHAnsi"/>
          <w:b/>
          <w:szCs w:val="24"/>
          <w:lang w:val="es-ES_tradnl"/>
        </w:rPr>
        <w:t>El gobierno polaco, convencido en aprobar la ley de renovables en 2012,</w:t>
      </w:r>
      <w:r w:rsidRPr="00094419">
        <w:rPr>
          <w:rFonts w:asciiTheme="minorHAnsi" w:hAnsiTheme="minorHAnsi"/>
          <w:szCs w:val="24"/>
          <w:lang w:val="es-ES_tradnl"/>
        </w:rPr>
        <w:t xml:space="preserve"> pese a que la industria no esté a favor con las medidas propuestas, las cuales consideran imprecisas. Esta ley se</w:t>
      </w:r>
      <w:r w:rsidR="00C636F4">
        <w:rPr>
          <w:rFonts w:asciiTheme="minorHAnsi" w:hAnsiTheme="minorHAnsi"/>
          <w:szCs w:val="24"/>
          <w:lang w:val="es-ES_tradnl"/>
        </w:rPr>
        <w:t xml:space="preserve"> debería haber aprobado en 2010</w:t>
      </w:r>
      <w:r w:rsidRPr="00094419">
        <w:rPr>
          <w:rFonts w:asciiTheme="minorHAnsi" w:hAnsiTheme="minorHAnsi"/>
          <w:szCs w:val="24"/>
          <w:lang w:val="es-ES_tradnl"/>
        </w:rPr>
        <w:t xml:space="preserve"> y se espera esté disponible el borrador a finales de junio. (REM </w:t>
      </w:r>
      <w:proofErr w:type="spellStart"/>
      <w:r w:rsidRPr="00094419">
        <w:rPr>
          <w:rFonts w:asciiTheme="minorHAnsi" w:hAnsiTheme="minorHAnsi"/>
          <w:szCs w:val="24"/>
          <w:lang w:val="es-ES_tradnl"/>
        </w:rPr>
        <w:t>week</w:t>
      </w:r>
      <w:proofErr w:type="spellEnd"/>
      <w:r w:rsidRPr="00094419">
        <w:rPr>
          <w:rFonts w:asciiTheme="minorHAnsi" w:hAnsiTheme="minorHAnsi"/>
          <w:szCs w:val="24"/>
          <w:lang w:val="es-ES_tradnl"/>
        </w:rPr>
        <w:t xml:space="preserve"> 20)</w:t>
      </w:r>
    </w:p>
    <w:p w:rsidR="00185FCF" w:rsidRDefault="00185FCF" w:rsidP="004B3809">
      <w:pPr>
        <w:pStyle w:val="Prrafodelista"/>
        <w:numPr>
          <w:ilvl w:val="0"/>
          <w:numId w:val="2"/>
        </w:numPr>
        <w:spacing w:before="100" w:beforeAutospacing="1" w:line="276" w:lineRule="auto"/>
        <w:ind w:left="284" w:hanging="284"/>
        <w:contextualSpacing/>
        <w:rPr>
          <w:rFonts w:asciiTheme="minorHAnsi" w:hAnsiTheme="minorHAnsi"/>
          <w:szCs w:val="24"/>
          <w:lang w:val="es-ES_tradnl"/>
        </w:rPr>
      </w:pPr>
      <w:r w:rsidRPr="00094419">
        <w:rPr>
          <w:rFonts w:asciiTheme="minorHAnsi" w:hAnsiTheme="minorHAnsi"/>
          <w:b/>
          <w:szCs w:val="24"/>
          <w:lang w:val="es-ES_tradnl"/>
        </w:rPr>
        <w:t xml:space="preserve">Rumanía duplicará su capacidad eólica en 2012: </w:t>
      </w:r>
      <w:r w:rsidRPr="00094419">
        <w:rPr>
          <w:rFonts w:asciiTheme="minorHAnsi" w:hAnsiTheme="minorHAnsi"/>
          <w:szCs w:val="24"/>
          <w:lang w:val="es-ES_tradnl"/>
        </w:rPr>
        <w:t>a finales de 2011 tenía unos 1.000</w:t>
      </w:r>
      <w:r w:rsidR="00C636F4">
        <w:rPr>
          <w:rFonts w:asciiTheme="minorHAnsi" w:hAnsiTheme="minorHAnsi"/>
          <w:szCs w:val="24"/>
          <w:lang w:val="es-ES_tradnl"/>
        </w:rPr>
        <w:t xml:space="preserve"> </w:t>
      </w:r>
      <w:r w:rsidRPr="00094419">
        <w:rPr>
          <w:rFonts w:asciiTheme="minorHAnsi" w:hAnsiTheme="minorHAnsi"/>
          <w:szCs w:val="24"/>
          <w:lang w:val="es-ES_tradnl"/>
        </w:rPr>
        <w:t>MW instalados y se espera</w:t>
      </w:r>
      <w:r w:rsidR="00C636F4">
        <w:rPr>
          <w:rFonts w:asciiTheme="minorHAnsi" w:hAnsiTheme="minorHAnsi"/>
          <w:szCs w:val="24"/>
          <w:lang w:val="es-ES_tradnl"/>
        </w:rPr>
        <w:t>n</w:t>
      </w:r>
      <w:r w:rsidRPr="00094419">
        <w:rPr>
          <w:rFonts w:asciiTheme="minorHAnsi" w:hAnsiTheme="minorHAnsi"/>
          <w:szCs w:val="24"/>
          <w:lang w:val="es-ES_tradnl"/>
        </w:rPr>
        <w:t xml:space="preserve"> alcanzar 2.100</w:t>
      </w:r>
      <w:r w:rsidR="00C636F4">
        <w:rPr>
          <w:rFonts w:asciiTheme="minorHAnsi" w:hAnsiTheme="minorHAnsi"/>
          <w:szCs w:val="24"/>
          <w:lang w:val="es-ES_tradnl"/>
        </w:rPr>
        <w:t xml:space="preserve"> </w:t>
      </w:r>
      <w:r w:rsidRPr="00094419">
        <w:rPr>
          <w:rFonts w:asciiTheme="minorHAnsi" w:hAnsiTheme="minorHAnsi"/>
          <w:szCs w:val="24"/>
          <w:lang w:val="es-ES_tradnl"/>
        </w:rPr>
        <w:t>MW a finales de 2012. Considerando las actuales infraestructuras, Rumania tiene capacidad para instalar 3.500</w:t>
      </w:r>
      <w:r w:rsidR="00C636F4">
        <w:rPr>
          <w:rFonts w:asciiTheme="minorHAnsi" w:hAnsiTheme="minorHAnsi"/>
          <w:szCs w:val="24"/>
          <w:lang w:val="es-ES_tradnl"/>
        </w:rPr>
        <w:t xml:space="preserve"> </w:t>
      </w:r>
      <w:r w:rsidRPr="00094419">
        <w:rPr>
          <w:rFonts w:asciiTheme="minorHAnsi" w:hAnsiTheme="minorHAnsi"/>
          <w:szCs w:val="24"/>
          <w:lang w:val="es-ES_tradnl"/>
        </w:rPr>
        <w:t xml:space="preserve">MW de eólica. (REM </w:t>
      </w:r>
      <w:proofErr w:type="spellStart"/>
      <w:r w:rsidRPr="00094419">
        <w:rPr>
          <w:rFonts w:asciiTheme="minorHAnsi" w:hAnsiTheme="minorHAnsi"/>
          <w:szCs w:val="24"/>
          <w:lang w:val="es-ES_tradnl"/>
        </w:rPr>
        <w:t>week</w:t>
      </w:r>
      <w:proofErr w:type="spellEnd"/>
      <w:r w:rsidRPr="00094419">
        <w:rPr>
          <w:rFonts w:asciiTheme="minorHAnsi" w:hAnsiTheme="minorHAnsi"/>
          <w:szCs w:val="24"/>
          <w:lang w:val="es-ES_tradnl"/>
        </w:rPr>
        <w:t xml:space="preserve"> 21)</w:t>
      </w:r>
    </w:p>
    <w:p w:rsidR="00185FCF" w:rsidRPr="00094419" w:rsidRDefault="00185FCF" w:rsidP="004B3809">
      <w:pPr>
        <w:pStyle w:val="Prrafodelista"/>
        <w:numPr>
          <w:ilvl w:val="0"/>
          <w:numId w:val="2"/>
        </w:numPr>
        <w:spacing w:before="100" w:beforeAutospacing="1" w:line="276" w:lineRule="auto"/>
        <w:ind w:left="284" w:hanging="284"/>
        <w:contextualSpacing/>
        <w:rPr>
          <w:rFonts w:asciiTheme="minorHAnsi" w:hAnsiTheme="minorHAnsi"/>
          <w:szCs w:val="24"/>
          <w:lang w:val="es-ES_tradnl"/>
        </w:rPr>
      </w:pPr>
      <w:r w:rsidRPr="00094419">
        <w:rPr>
          <w:rFonts w:asciiTheme="minorHAnsi" w:hAnsiTheme="minorHAnsi"/>
          <w:b/>
          <w:szCs w:val="24"/>
          <w:lang w:val="es-ES_tradnl"/>
        </w:rPr>
        <w:t xml:space="preserve">Según un informe de </w:t>
      </w:r>
      <w:hyperlink r:id="rId8" w:history="1">
        <w:r w:rsidRPr="00094419">
          <w:rPr>
            <w:rStyle w:val="Hipervnculo"/>
            <w:rFonts w:asciiTheme="minorHAnsi" w:hAnsiTheme="minorHAnsi"/>
            <w:b/>
            <w:i/>
            <w:szCs w:val="24"/>
            <w:lang w:val="es-ES_tradnl"/>
          </w:rPr>
          <w:t xml:space="preserve">Offshore </w:t>
        </w:r>
        <w:proofErr w:type="spellStart"/>
        <w:r w:rsidRPr="00094419">
          <w:rPr>
            <w:rStyle w:val="Hipervnculo"/>
            <w:rFonts w:asciiTheme="minorHAnsi" w:hAnsiTheme="minorHAnsi"/>
            <w:b/>
            <w:i/>
            <w:szCs w:val="24"/>
            <w:lang w:val="es-ES_tradnl"/>
          </w:rPr>
          <w:t>Wind</w:t>
        </w:r>
        <w:proofErr w:type="spellEnd"/>
        <w:r w:rsidRPr="00094419">
          <w:rPr>
            <w:rStyle w:val="Hipervnculo"/>
            <w:rFonts w:asciiTheme="minorHAnsi" w:hAnsiTheme="minorHAnsi"/>
            <w:b/>
            <w:i/>
            <w:szCs w:val="24"/>
            <w:lang w:val="es-ES_tradnl"/>
          </w:rPr>
          <w:t xml:space="preserve"> </w:t>
        </w:r>
        <w:proofErr w:type="spellStart"/>
        <w:r w:rsidRPr="00094419">
          <w:rPr>
            <w:rStyle w:val="Hipervnculo"/>
            <w:rFonts w:asciiTheme="minorHAnsi" w:hAnsiTheme="minorHAnsi"/>
            <w:b/>
            <w:i/>
            <w:szCs w:val="24"/>
            <w:lang w:val="es-ES_tradnl"/>
          </w:rPr>
          <w:t>Cost</w:t>
        </w:r>
        <w:proofErr w:type="spellEnd"/>
        <w:r w:rsidRPr="00094419">
          <w:rPr>
            <w:rStyle w:val="Hipervnculo"/>
            <w:rFonts w:asciiTheme="minorHAnsi" w:hAnsiTheme="minorHAnsi"/>
            <w:b/>
            <w:i/>
            <w:szCs w:val="24"/>
            <w:lang w:val="es-ES_tradnl"/>
          </w:rPr>
          <w:t xml:space="preserve"> </w:t>
        </w:r>
        <w:proofErr w:type="spellStart"/>
        <w:r w:rsidRPr="00094419">
          <w:rPr>
            <w:rStyle w:val="Hipervnculo"/>
            <w:rFonts w:asciiTheme="minorHAnsi" w:hAnsiTheme="minorHAnsi"/>
            <w:b/>
            <w:i/>
            <w:szCs w:val="24"/>
            <w:lang w:val="es-ES_tradnl"/>
          </w:rPr>
          <w:t>Reduction</w:t>
        </w:r>
        <w:proofErr w:type="spellEnd"/>
        <w:r w:rsidRPr="00094419">
          <w:rPr>
            <w:rStyle w:val="Hipervnculo"/>
            <w:rFonts w:asciiTheme="minorHAnsi" w:hAnsiTheme="minorHAnsi"/>
            <w:b/>
            <w:i/>
            <w:szCs w:val="24"/>
            <w:lang w:val="es-ES_tradnl"/>
          </w:rPr>
          <w:t xml:space="preserve"> </w:t>
        </w:r>
        <w:proofErr w:type="spellStart"/>
        <w:r w:rsidRPr="00094419">
          <w:rPr>
            <w:rStyle w:val="Hipervnculo"/>
            <w:rFonts w:asciiTheme="minorHAnsi" w:hAnsiTheme="minorHAnsi"/>
            <w:b/>
            <w:i/>
            <w:szCs w:val="24"/>
            <w:lang w:val="es-ES_tradnl"/>
          </w:rPr>
          <w:t>Task</w:t>
        </w:r>
        <w:proofErr w:type="spellEnd"/>
        <w:r w:rsidRPr="00094419">
          <w:rPr>
            <w:rStyle w:val="Hipervnculo"/>
            <w:rFonts w:asciiTheme="minorHAnsi" w:hAnsiTheme="minorHAnsi"/>
            <w:b/>
            <w:i/>
            <w:szCs w:val="24"/>
            <w:lang w:val="es-ES_tradnl"/>
          </w:rPr>
          <w:t xml:space="preserve"> </w:t>
        </w:r>
        <w:proofErr w:type="spellStart"/>
        <w:r w:rsidRPr="00094419">
          <w:rPr>
            <w:rStyle w:val="Hipervnculo"/>
            <w:rFonts w:asciiTheme="minorHAnsi" w:hAnsiTheme="minorHAnsi"/>
            <w:b/>
            <w:i/>
            <w:szCs w:val="24"/>
            <w:lang w:val="es-ES_tradnl"/>
          </w:rPr>
          <w:t>Force</w:t>
        </w:r>
        <w:proofErr w:type="spellEnd"/>
      </w:hyperlink>
      <w:r w:rsidRPr="00094419">
        <w:rPr>
          <w:rFonts w:asciiTheme="minorHAnsi" w:hAnsiTheme="minorHAnsi"/>
          <w:b/>
          <w:szCs w:val="24"/>
          <w:lang w:val="es-ES_tradnl"/>
        </w:rPr>
        <w:t xml:space="preserve">, el Reino Unido podría reducir el coste de la eólica marina en un 30% en siete años, </w:t>
      </w:r>
      <w:r w:rsidRPr="00094419">
        <w:rPr>
          <w:rFonts w:asciiTheme="minorHAnsi" w:hAnsiTheme="minorHAnsi"/>
          <w:szCs w:val="24"/>
          <w:lang w:val="es-ES_tradnl"/>
        </w:rPr>
        <w:t xml:space="preserve">cayendo los </w:t>
      </w:r>
      <w:proofErr w:type="spellStart"/>
      <w:r w:rsidRPr="00094419">
        <w:rPr>
          <w:rFonts w:asciiTheme="minorHAnsi" w:hAnsiTheme="minorHAnsi"/>
          <w:i/>
          <w:szCs w:val="24"/>
          <w:lang w:val="es-ES_tradnl"/>
        </w:rPr>
        <w:t>levelized</w:t>
      </w:r>
      <w:proofErr w:type="spellEnd"/>
      <w:r w:rsidRPr="00094419">
        <w:rPr>
          <w:rFonts w:asciiTheme="minorHAnsi" w:hAnsiTheme="minorHAnsi"/>
          <w:i/>
          <w:szCs w:val="24"/>
          <w:lang w:val="es-ES_tradnl"/>
        </w:rPr>
        <w:t xml:space="preserve"> </w:t>
      </w:r>
      <w:proofErr w:type="spellStart"/>
      <w:r w:rsidRPr="00094419">
        <w:rPr>
          <w:rFonts w:asciiTheme="minorHAnsi" w:hAnsiTheme="minorHAnsi"/>
          <w:i/>
          <w:szCs w:val="24"/>
          <w:lang w:val="es-ES_tradnl"/>
        </w:rPr>
        <w:t>cost</w:t>
      </w:r>
      <w:proofErr w:type="spellEnd"/>
      <w:r w:rsidRPr="00094419">
        <w:rPr>
          <w:rFonts w:asciiTheme="minorHAnsi" w:hAnsiTheme="minorHAnsi"/>
          <w:szCs w:val="24"/>
          <w:lang w:val="es-ES_tradnl"/>
        </w:rPr>
        <w:t xml:space="preserve"> de 140 a 100 GBP/</w:t>
      </w:r>
      <w:proofErr w:type="spellStart"/>
      <w:r w:rsidRPr="00094419">
        <w:rPr>
          <w:rFonts w:asciiTheme="minorHAnsi" w:hAnsiTheme="minorHAnsi"/>
          <w:szCs w:val="24"/>
          <w:lang w:val="es-ES_tradnl"/>
        </w:rPr>
        <w:t>MWh.</w:t>
      </w:r>
      <w:proofErr w:type="spellEnd"/>
      <w:r w:rsidRPr="00094419">
        <w:rPr>
          <w:rFonts w:asciiTheme="minorHAnsi" w:hAnsiTheme="minorHAnsi"/>
          <w:szCs w:val="24"/>
          <w:lang w:val="es-ES_tradnl"/>
        </w:rPr>
        <w:t xml:space="preserve"> El estudio propone además 28 recomendaciones específicas. (DECC 13.06)</w:t>
      </w:r>
    </w:p>
    <w:p w:rsidR="00185FCF" w:rsidRPr="00094419" w:rsidRDefault="00185FCF" w:rsidP="004B3809">
      <w:pPr>
        <w:pStyle w:val="Prrafodelista"/>
        <w:numPr>
          <w:ilvl w:val="0"/>
          <w:numId w:val="2"/>
        </w:numPr>
        <w:spacing w:before="100" w:beforeAutospacing="1" w:line="276" w:lineRule="auto"/>
        <w:ind w:left="284" w:hanging="284"/>
        <w:contextualSpacing/>
        <w:rPr>
          <w:rFonts w:asciiTheme="minorHAnsi" w:hAnsiTheme="minorHAnsi"/>
          <w:szCs w:val="24"/>
          <w:lang w:val="es-ES_tradnl"/>
        </w:rPr>
      </w:pPr>
      <w:r w:rsidRPr="00094419">
        <w:rPr>
          <w:rFonts w:asciiTheme="minorHAnsi" w:hAnsiTheme="minorHAnsi"/>
          <w:b/>
          <w:szCs w:val="24"/>
          <w:lang w:val="es-ES_tradnl"/>
        </w:rPr>
        <w:t>Holanda destinará 52 Mill.EUR en 2012 y 2013 para paneles solares en hogares.</w:t>
      </w:r>
      <w:r w:rsidRPr="00094419">
        <w:rPr>
          <w:rFonts w:asciiTheme="minorHAnsi" w:hAnsiTheme="minorHAnsi"/>
          <w:szCs w:val="24"/>
          <w:lang w:val="es-ES_tradnl"/>
        </w:rPr>
        <w:t xml:space="preserve"> A los hogares que los instalen les reembolsarán un 15% de su coste y no tendrán acceso a otro tipo de subsidios. Solo tienen acceso al reembolso paneles de 0,6-3,5</w:t>
      </w:r>
      <w:r w:rsidR="00C636F4">
        <w:rPr>
          <w:rFonts w:asciiTheme="minorHAnsi" w:hAnsiTheme="minorHAnsi"/>
          <w:szCs w:val="24"/>
          <w:lang w:val="es-ES_tradnl"/>
        </w:rPr>
        <w:t xml:space="preserve"> </w:t>
      </w:r>
      <w:proofErr w:type="spellStart"/>
      <w:r w:rsidRPr="00094419">
        <w:rPr>
          <w:rFonts w:asciiTheme="minorHAnsi" w:hAnsiTheme="minorHAnsi"/>
          <w:szCs w:val="24"/>
          <w:lang w:val="es-ES_tradnl"/>
        </w:rPr>
        <w:t>kW</w:t>
      </w:r>
      <w:proofErr w:type="spellEnd"/>
      <w:r w:rsidRPr="00094419">
        <w:rPr>
          <w:rFonts w:asciiTheme="minorHAnsi" w:hAnsiTheme="minorHAnsi"/>
          <w:szCs w:val="24"/>
          <w:lang w:val="es-ES_tradnl"/>
        </w:rPr>
        <w:t xml:space="preserve"> de capacidad. Las empresas no pueden optar a este subsidio. (EUE 15.06)</w:t>
      </w:r>
    </w:p>
    <w:p w:rsidR="00185FCF" w:rsidRPr="00094419" w:rsidRDefault="00185FCF" w:rsidP="004B3809">
      <w:pPr>
        <w:pStyle w:val="Prrafodelista"/>
        <w:numPr>
          <w:ilvl w:val="0"/>
          <w:numId w:val="2"/>
        </w:numPr>
        <w:spacing w:before="100" w:beforeAutospacing="1" w:line="276" w:lineRule="auto"/>
        <w:ind w:left="284" w:hanging="284"/>
        <w:contextualSpacing/>
        <w:rPr>
          <w:rFonts w:asciiTheme="minorHAnsi" w:hAnsiTheme="minorHAnsi"/>
          <w:szCs w:val="24"/>
          <w:lang w:val="es-ES_tradnl"/>
        </w:rPr>
      </w:pPr>
      <w:r w:rsidRPr="00094419">
        <w:rPr>
          <w:rFonts w:asciiTheme="minorHAnsi" w:hAnsiTheme="minorHAnsi"/>
          <w:b/>
          <w:szCs w:val="24"/>
          <w:lang w:val="es-ES_tradnl"/>
        </w:rPr>
        <w:t xml:space="preserve">Según el Comisario de energía de la CE, obligar a las empresas a almacenar energía serviría para integrar de modo más seguro en el sistema una mayor cantidad de renovables: </w:t>
      </w:r>
      <w:r w:rsidRPr="00094419">
        <w:rPr>
          <w:rFonts w:asciiTheme="minorHAnsi" w:hAnsiTheme="minorHAnsi"/>
          <w:szCs w:val="24"/>
          <w:lang w:val="es-ES_tradnl"/>
        </w:rPr>
        <w:t>el comisario sugiere una obli</w:t>
      </w:r>
      <w:r w:rsidR="00C636F4">
        <w:rPr>
          <w:rFonts w:asciiTheme="minorHAnsi" w:hAnsiTheme="minorHAnsi"/>
          <w:szCs w:val="24"/>
          <w:lang w:val="es-ES_tradnl"/>
        </w:rPr>
        <w:t>gación de almacenamiento de 7 dí</w:t>
      </w:r>
      <w:r w:rsidRPr="00094419">
        <w:rPr>
          <w:rFonts w:asciiTheme="minorHAnsi" w:hAnsiTheme="minorHAnsi"/>
          <w:szCs w:val="24"/>
          <w:lang w:val="es-ES_tradnl"/>
        </w:rPr>
        <w:t>as para asegurar que la red pueda hacer frente a las variaciones debidas a las renovables. (EUE 29.06)</w:t>
      </w:r>
    </w:p>
    <w:p w:rsidR="00185FCF" w:rsidRPr="00710DDD" w:rsidRDefault="00185FCF" w:rsidP="00094419">
      <w:pPr>
        <w:pStyle w:val="Ttulo3"/>
        <w:rPr>
          <w:lang w:val="es-ES_tradnl"/>
        </w:rPr>
      </w:pPr>
      <w:r w:rsidRPr="00710DDD">
        <w:rPr>
          <w:lang w:val="es-ES_tradnl"/>
        </w:rPr>
        <w:t>Europa – Regulación</w:t>
      </w:r>
      <w:r>
        <w:rPr>
          <w:lang w:val="es-ES_tradnl"/>
        </w:rPr>
        <w:t xml:space="preserve">, </w:t>
      </w:r>
      <w:r w:rsidRPr="00710DDD">
        <w:rPr>
          <w:lang w:val="es-ES_tradnl"/>
        </w:rPr>
        <w:t xml:space="preserve"> legislación</w:t>
      </w:r>
      <w:r>
        <w:rPr>
          <w:lang w:val="es-ES_tradnl"/>
        </w:rPr>
        <w:t xml:space="preserve"> y competencia</w:t>
      </w:r>
    </w:p>
    <w:p w:rsidR="00185FCF" w:rsidRPr="00E7004E" w:rsidRDefault="00185FCF" w:rsidP="00E7004E">
      <w:pPr>
        <w:numPr>
          <w:ilvl w:val="0"/>
          <w:numId w:val="3"/>
        </w:numPr>
        <w:spacing w:before="100" w:beforeAutospacing="1" w:line="276" w:lineRule="auto"/>
        <w:ind w:left="284" w:hanging="284"/>
        <w:rPr>
          <w:b/>
          <w:color w:val="008000"/>
          <w:szCs w:val="24"/>
          <w:lang w:val="es-ES_tradnl"/>
        </w:rPr>
      </w:pPr>
      <w:r w:rsidRPr="005871F9">
        <w:rPr>
          <w:b/>
          <w:szCs w:val="24"/>
          <w:lang w:val="es-ES_tradnl"/>
        </w:rPr>
        <w:t>El gobierno noruego propone en un “libro blanco “duplicar la tasa del CO</w:t>
      </w:r>
      <w:r w:rsidRPr="006B085F">
        <w:rPr>
          <w:b/>
          <w:szCs w:val="24"/>
          <w:vertAlign w:val="subscript"/>
          <w:lang w:val="es-ES_tradnl"/>
        </w:rPr>
        <w:t>2</w:t>
      </w:r>
      <w:r w:rsidRPr="005871F9">
        <w:rPr>
          <w:b/>
          <w:szCs w:val="24"/>
          <w:lang w:val="es-ES_tradnl"/>
        </w:rPr>
        <w:t xml:space="preserve"> al sector petrolero</w:t>
      </w:r>
      <w:r w:rsidR="00E7004E">
        <w:rPr>
          <w:b/>
          <w:szCs w:val="24"/>
          <w:lang w:val="es-ES_tradnl"/>
        </w:rPr>
        <w:t>.</w:t>
      </w:r>
      <w:r w:rsidRPr="00E7004E">
        <w:rPr>
          <w:szCs w:val="24"/>
          <w:lang w:val="es-ES_tradnl"/>
        </w:rPr>
        <w:t xml:space="preserve"> (Reuters 25.04)</w:t>
      </w:r>
    </w:p>
    <w:p w:rsidR="00185FCF" w:rsidRPr="00316595" w:rsidRDefault="00185FCF" w:rsidP="004B3809">
      <w:pPr>
        <w:numPr>
          <w:ilvl w:val="0"/>
          <w:numId w:val="3"/>
        </w:numPr>
        <w:spacing w:before="100" w:beforeAutospacing="1" w:line="276" w:lineRule="auto"/>
        <w:ind w:left="284" w:hanging="284"/>
        <w:rPr>
          <w:b/>
          <w:color w:val="008000"/>
          <w:szCs w:val="24"/>
          <w:lang w:val="es-ES_tradnl"/>
        </w:rPr>
      </w:pPr>
      <w:r>
        <w:rPr>
          <w:b/>
          <w:szCs w:val="24"/>
          <w:lang w:val="es-ES_tradnl"/>
        </w:rPr>
        <w:t xml:space="preserve">Hungría duplica tasa la </w:t>
      </w:r>
      <w:proofErr w:type="spellStart"/>
      <w:r w:rsidRPr="00F73B87">
        <w:rPr>
          <w:b/>
          <w:i/>
          <w:szCs w:val="24"/>
          <w:lang w:val="es-ES_tradnl"/>
        </w:rPr>
        <w:t>Robin</w:t>
      </w:r>
      <w:proofErr w:type="spellEnd"/>
      <w:r w:rsidRPr="00F73B87">
        <w:rPr>
          <w:b/>
          <w:i/>
          <w:szCs w:val="24"/>
          <w:lang w:val="es-ES_tradnl"/>
        </w:rPr>
        <w:t xml:space="preserve"> Hood</w:t>
      </w:r>
      <w:r>
        <w:rPr>
          <w:b/>
          <w:szCs w:val="24"/>
          <w:lang w:val="es-ES_tradnl"/>
        </w:rPr>
        <w:t xml:space="preserve"> a la industria energética a partir de 2013: </w:t>
      </w:r>
      <w:r w:rsidRPr="00BF5136">
        <w:rPr>
          <w:szCs w:val="24"/>
          <w:lang w:val="es-ES_tradnl"/>
        </w:rPr>
        <w:t>Actualmente esta tasa antes de impuesto es del 8%</w:t>
      </w:r>
      <w:r w:rsidRPr="005871F9">
        <w:rPr>
          <w:szCs w:val="24"/>
          <w:lang w:val="es-ES_tradnl"/>
        </w:rPr>
        <w:t xml:space="preserve"> </w:t>
      </w:r>
      <w:r>
        <w:rPr>
          <w:szCs w:val="24"/>
          <w:lang w:val="es-ES_tradnl"/>
        </w:rPr>
        <w:t>y se aplica a todos los productores de energía y comercializadores desde 2008. (EUE 04.05)</w:t>
      </w:r>
    </w:p>
    <w:p w:rsidR="00185FCF" w:rsidRPr="006B1217" w:rsidRDefault="00185FCF" w:rsidP="004B3809">
      <w:pPr>
        <w:numPr>
          <w:ilvl w:val="0"/>
          <w:numId w:val="3"/>
        </w:numPr>
        <w:spacing w:before="100" w:beforeAutospacing="1" w:line="276" w:lineRule="auto"/>
        <w:ind w:left="284" w:hanging="284"/>
        <w:rPr>
          <w:color w:val="008000"/>
          <w:szCs w:val="24"/>
          <w:lang w:val="es-ES_tradnl"/>
        </w:rPr>
      </w:pPr>
      <w:r>
        <w:rPr>
          <w:b/>
          <w:szCs w:val="24"/>
          <w:lang w:val="es-ES_tradnl"/>
        </w:rPr>
        <w:t>El Senado italiano aprueba dar fin a las “</w:t>
      </w:r>
      <w:proofErr w:type="spellStart"/>
      <w:r w:rsidRPr="00316595">
        <w:rPr>
          <w:b/>
          <w:i/>
          <w:szCs w:val="24"/>
          <w:lang w:val="es-ES_tradnl"/>
        </w:rPr>
        <w:t>golden</w:t>
      </w:r>
      <w:proofErr w:type="spellEnd"/>
      <w:r w:rsidRPr="00316595">
        <w:rPr>
          <w:b/>
          <w:i/>
          <w:szCs w:val="24"/>
          <w:lang w:val="es-ES_tradnl"/>
        </w:rPr>
        <w:t xml:space="preserve"> shares</w:t>
      </w:r>
      <w:r>
        <w:rPr>
          <w:b/>
          <w:szCs w:val="24"/>
          <w:lang w:val="es-ES_tradnl"/>
        </w:rPr>
        <w:t xml:space="preserve">”, </w:t>
      </w:r>
      <w:r w:rsidRPr="00316595">
        <w:rPr>
          <w:szCs w:val="24"/>
          <w:lang w:val="es-ES_tradnl"/>
        </w:rPr>
        <w:t>principalmente por la presión ejercida por la UE que considera que estas acciones en manos del gobierno vulneran la libre circulación de capitales. (EUE 18.05)</w:t>
      </w:r>
    </w:p>
    <w:p w:rsidR="00185FCF" w:rsidRPr="00316595" w:rsidRDefault="00185FCF" w:rsidP="004B3809">
      <w:pPr>
        <w:numPr>
          <w:ilvl w:val="0"/>
          <w:numId w:val="3"/>
        </w:numPr>
        <w:spacing w:before="100" w:beforeAutospacing="1" w:line="276" w:lineRule="auto"/>
        <w:ind w:left="284" w:hanging="284"/>
        <w:rPr>
          <w:color w:val="008000"/>
          <w:szCs w:val="24"/>
          <w:lang w:val="es-ES_tradnl"/>
        </w:rPr>
      </w:pPr>
      <w:r>
        <w:rPr>
          <w:b/>
          <w:szCs w:val="24"/>
          <w:lang w:val="es-ES_tradnl"/>
        </w:rPr>
        <w:lastRenderedPageBreak/>
        <w:t xml:space="preserve">Portugal prepara legislación para impulsar los poderes del regulador ERSE, </w:t>
      </w:r>
      <w:r w:rsidRPr="006B1217">
        <w:rPr>
          <w:szCs w:val="24"/>
          <w:lang w:val="es-ES_tradnl"/>
        </w:rPr>
        <w:t>incluyendo la potestad para imponer sanciones a las empresas que incumplan las leyes del sector.</w:t>
      </w:r>
      <w:r>
        <w:rPr>
          <w:szCs w:val="24"/>
          <w:lang w:val="es-ES_tradnl"/>
        </w:rPr>
        <w:t xml:space="preserve"> </w:t>
      </w:r>
      <w:r w:rsidRPr="006B1217">
        <w:rPr>
          <w:szCs w:val="24"/>
          <w:lang w:val="es-ES_tradnl"/>
        </w:rPr>
        <w:t>También</w:t>
      </w:r>
      <w:r w:rsidR="00C636F4">
        <w:rPr>
          <w:szCs w:val="24"/>
          <w:lang w:val="es-ES_tradnl"/>
        </w:rPr>
        <w:t>,</w:t>
      </w:r>
      <w:r w:rsidRPr="006B1217">
        <w:rPr>
          <w:szCs w:val="24"/>
          <w:lang w:val="es-ES_tradnl"/>
        </w:rPr>
        <w:t xml:space="preserve"> se plantea su fusión con otros sectores regulados como telecomunicaciones o seguros. (EUE 15.06)</w:t>
      </w:r>
    </w:p>
    <w:p w:rsidR="00185FCF" w:rsidRPr="00A42BB5" w:rsidRDefault="00185FCF" w:rsidP="00094419">
      <w:pPr>
        <w:pStyle w:val="Ttulo3"/>
        <w:rPr>
          <w:lang w:val="es-ES_tradnl"/>
        </w:rPr>
      </w:pPr>
      <w:r>
        <w:rPr>
          <w:lang w:val="es-ES_tradnl"/>
        </w:rPr>
        <w:t>Europa – Empresas,</w:t>
      </w:r>
      <w:r w:rsidRPr="00A42BB5">
        <w:rPr>
          <w:lang w:val="es-ES_tradnl"/>
        </w:rPr>
        <w:t xml:space="preserve"> mercados</w:t>
      </w:r>
      <w:r>
        <w:rPr>
          <w:lang w:val="es-ES_tradnl"/>
        </w:rPr>
        <w:t xml:space="preserve"> y garantía de suministro</w:t>
      </w:r>
    </w:p>
    <w:p w:rsidR="00185FCF" w:rsidRPr="00094419" w:rsidRDefault="00185FCF" w:rsidP="004B3809">
      <w:pPr>
        <w:numPr>
          <w:ilvl w:val="0"/>
          <w:numId w:val="4"/>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lang w:val="es-ES_tradnl"/>
        </w:rPr>
        <w:t xml:space="preserve">Según el grupo industrial alemán </w:t>
      </w:r>
      <w:hyperlink r:id="rId9" w:history="1">
        <w:r w:rsidRPr="00094419">
          <w:rPr>
            <w:rStyle w:val="Hipervnculo"/>
            <w:rFonts w:asciiTheme="minorHAnsi" w:hAnsiTheme="minorHAnsi" w:cs="Arial"/>
            <w:b/>
            <w:szCs w:val="24"/>
            <w:lang w:val="es-ES_tradnl"/>
          </w:rPr>
          <w:t>BDEW</w:t>
        </w:r>
      </w:hyperlink>
      <w:r w:rsidRPr="00094419">
        <w:rPr>
          <w:rFonts w:asciiTheme="minorHAnsi" w:hAnsiTheme="minorHAnsi" w:cs="Arial"/>
          <w:b/>
          <w:szCs w:val="24"/>
          <w:lang w:val="es-ES_tradnl"/>
        </w:rPr>
        <w:t>, Alemania construirá 42</w:t>
      </w:r>
      <w:r w:rsidR="00C636F4">
        <w:rPr>
          <w:rFonts w:asciiTheme="minorHAnsi" w:hAnsiTheme="minorHAnsi" w:cs="Arial"/>
          <w:b/>
          <w:szCs w:val="24"/>
          <w:lang w:val="es-ES_tradnl"/>
        </w:rPr>
        <w:t xml:space="preserve"> </w:t>
      </w:r>
      <w:r w:rsidRPr="00094419">
        <w:rPr>
          <w:rFonts w:asciiTheme="minorHAnsi" w:hAnsiTheme="minorHAnsi" w:cs="Arial"/>
          <w:b/>
          <w:szCs w:val="24"/>
          <w:lang w:val="es-ES_tradnl"/>
        </w:rPr>
        <w:t>GW de nueva capacidad para 2020</w:t>
      </w:r>
      <w:r w:rsidRPr="00094419">
        <w:rPr>
          <w:rFonts w:asciiTheme="minorHAnsi" w:hAnsiTheme="minorHAnsi" w:cs="Arial"/>
          <w:szCs w:val="24"/>
          <w:lang w:val="es-ES_tradnl"/>
        </w:rPr>
        <w:t>, con la construcción o modernización de 84 centrales. El coste estimado es de 60 Mill.EUR e incluye proyectos renovables y no renovables. (EUE 04.05).</w:t>
      </w:r>
    </w:p>
    <w:p w:rsidR="00185FCF" w:rsidRPr="00094419" w:rsidRDefault="00185FCF" w:rsidP="004B3809">
      <w:pPr>
        <w:numPr>
          <w:ilvl w:val="0"/>
          <w:numId w:val="4"/>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lang w:val="es-ES_tradnl"/>
        </w:rPr>
        <w:t>La UE lleva a Bélgica ante el Tribunal Europeo de justicia por incumplimiento de las leyes europeas de libre circulación de capitales y no discriminación</w:t>
      </w:r>
      <w:r w:rsidRPr="00094419">
        <w:rPr>
          <w:rFonts w:asciiTheme="minorHAnsi" w:hAnsiTheme="minorHAnsi" w:cs="Arial"/>
          <w:szCs w:val="24"/>
          <w:lang w:val="es-ES_tradnl"/>
        </w:rPr>
        <w:t>, ya que el gobierno flamenco exige a las compañías de la región suministrar certificados verdes de origen exclusivamente flamenco. (EUE 04.05)</w:t>
      </w:r>
      <w:r w:rsidRPr="00094419">
        <w:rPr>
          <w:rFonts w:asciiTheme="minorHAnsi" w:hAnsiTheme="minorHAnsi" w:cs="Arial"/>
          <w:b/>
          <w:szCs w:val="24"/>
          <w:lang w:val="es-ES_tradnl"/>
        </w:rPr>
        <w:t xml:space="preserve"> </w:t>
      </w:r>
    </w:p>
    <w:p w:rsidR="00185FCF" w:rsidRPr="00094419" w:rsidRDefault="00185FCF" w:rsidP="004B3809">
      <w:pPr>
        <w:numPr>
          <w:ilvl w:val="0"/>
          <w:numId w:val="4"/>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rPr>
        <w:t xml:space="preserve">Lituania se unirá al mercado </w:t>
      </w:r>
      <w:proofErr w:type="spellStart"/>
      <w:r w:rsidRPr="00094419">
        <w:rPr>
          <w:rFonts w:asciiTheme="minorHAnsi" w:hAnsiTheme="minorHAnsi" w:cs="Arial"/>
          <w:b/>
          <w:szCs w:val="24"/>
        </w:rPr>
        <w:t>NordPoolSpot</w:t>
      </w:r>
      <w:proofErr w:type="spellEnd"/>
      <w:r w:rsidRPr="00094419">
        <w:rPr>
          <w:rFonts w:asciiTheme="minorHAnsi" w:hAnsiTheme="minorHAnsi" w:cs="Arial"/>
          <w:b/>
          <w:szCs w:val="24"/>
        </w:rPr>
        <w:t xml:space="preserve"> en junio, </w:t>
      </w:r>
      <w:r w:rsidRPr="00094419">
        <w:rPr>
          <w:rFonts w:asciiTheme="minorHAnsi" w:hAnsiTheme="minorHAnsi" w:cs="Arial"/>
          <w:szCs w:val="24"/>
        </w:rPr>
        <w:t>lo cual supone un gran paso en la integración del Báltico con Escandinavia y la UE. Se cree que la participación servirá para reducir los precios a los consumidores lituanos ya que podrán elegir libremente su suministrador. (</w:t>
      </w:r>
      <w:proofErr w:type="spellStart"/>
      <w:r w:rsidRPr="00094419">
        <w:rPr>
          <w:rFonts w:asciiTheme="minorHAnsi" w:hAnsiTheme="minorHAnsi" w:cs="Arial"/>
          <w:szCs w:val="24"/>
        </w:rPr>
        <w:t>EnergoWeek</w:t>
      </w:r>
      <w:proofErr w:type="spellEnd"/>
      <w:r w:rsidRPr="00094419">
        <w:rPr>
          <w:rFonts w:asciiTheme="minorHAnsi" w:hAnsiTheme="minorHAnsi" w:cs="Arial"/>
          <w:szCs w:val="24"/>
        </w:rPr>
        <w:t xml:space="preserve"> 20).</w:t>
      </w:r>
    </w:p>
    <w:p w:rsidR="00185FCF" w:rsidRPr="00094419" w:rsidRDefault="00185FCF" w:rsidP="004B3809">
      <w:pPr>
        <w:numPr>
          <w:ilvl w:val="0"/>
          <w:numId w:val="4"/>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rPr>
        <w:t xml:space="preserve">Se espera el acoplamiento de los mercados húngaro, checo y eslovaco en septiembre: </w:t>
      </w:r>
      <w:r w:rsidRPr="00094419">
        <w:rPr>
          <w:rFonts w:asciiTheme="minorHAnsi" w:hAnsiTheme="minorHAnsi" w:cs="Arial"/>
          <w:szCs w:val="24"/>
        </w:rPr>
        <w:t>los primeros test se realizarán en agosto. Este mercado aumentará la liquidez de los mercados y una mejor transparencia en los precios de electricidad. (</w:t>
      </w:r>
      <w:proofErr w:type="spellStart"/>
      <w:r w:rsidRPr="00094419">
        <w:rPr>
          <w:rFonts w:asciiTheme="minorHAnsi" w:hAnsiTheme="minorHAnsi" w:cs="Arial"/>
          <w:szCs w:val="24"/>
        </w:rPr>
        <w:t>Energo</w:t>
      </w:r>
      <w:proofErr w:type="spellEnd"/>
      <w:r w:rsidRPr="00094419">
        <w:rPr>
          <w:rFonts w:asciiTheme="minorHAnsi" w:hAnsiTheme="minorHAnsi" w:cs="Arial"/>
          <w:szCs w:val="24"/>
        </w:rPr>
        <w:t xml:space="preserve"> </w:t>
      </w:r>
      <w:proofErr w:type="spellStart"/>
      <w:r w:rsidRPr="00094419">
        <w:rPr>
          <w:rFonts w:asciiTheme="minorHAnsi" w:hAnsiTheme="minorHAnsi" w:cs="Arial"/>
          <w:szCs w:val="24"/>
        </w:rPr>
        <w:t>week</w:t>
      </w:r>
      <w:proofErr w:type="spellEnd"/>
      <w:r w:rsidRPr="00094419">
        <w:rPr>
          <w:rFonts w:asciiTheme="minorHAnsi" w:hAnsiTheme="minorHAnsi" w:cs="Arial"/>
          <w:szCs w:val="24"/>
        </w:rPr>
        <w:t xml:space="preserve"> 24)</w:t>
      </w:r>
    </w:p>
    <w:p w:rsidR="00185FCF" w:rsidRPr="00094419" w:rsidRDefault="00185FCF" w:rsidP="004B3809">
      <w:pPr>
        <w:numPr>
          <w:ilvl w:val="0"/>
          <w:numId w:val="4"/>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rPr>
        <w:t>Un estudio del WEC (</w:t>
      </w:r>
      <w:proofErr w:type="spellStart"/>
      <w:r w:rsidR="00C636F4">
        <w:rPr>
          <w:rFonts w:asciiTheme="minorHAnsi" w:hAnsiTheme="minorHAnsi" w:cs="Arial"/>
          <w:b/>
          <w:szCs w:val="24"/>
        </w:rPr>
        <w:t>W</w:t>
      </w:r>
      <w:r w:rsidRPr="00094419">
        <w:rPr>
          <w:rFonts w:asciiTheme="minorHAnsi" w:hAnsiTheme="minorHAnsi" w:cs="Arial"/>
          <w:b/>
          <w:i/>
          <w:szCs w:val="24"/>
        </w:rPr>
        <w:t>orld</w:t>
      </w:r>
      <w:proofErr w:type="spellEnd"/>
      <w:r w:rsidRPr="00094419">
        <w:rPr>
          <w:rFonts w:asciiTheme="minorHAnsi" w:hAnsiTheme="minorHAnsi" w:cs="Arial"/>
          <w:b/>
          <w:i/>
          <w:szCs w:val="24"/>
        </w:rPr>
        <w:t xml:space="preserve"> </w:t>
      </w:r>
      <w:proofErr w:type="spellStart"/>
      <w:r w:rsidR="00C636F4">
        <w:rPr>
          <w:rFonts w:asciiTheme="minorHAnsi" w:hAnsiTheme="minorHAnsi" w:cs="Arial"/>
          <w:b/>
          <w:i/>
          <w:szCs w:val="24"/>
        </w:rPr>
        <w:t>E</w:t>
      </w:r>
      <w:r w:rsidRPr="00094419">
        <w:rPr>
          <w:rFonts w:asciiTheme="minorHAnsi" w:hAnsiTheme="minorHAnsi" w:cs="Arial"/>
          <w:b/>
          <w:i/>
          <w:szCs w:val="24"/>
        </w:rPr>
        <w:t>nergy</w:t>
      </w:r>
      <w:proofErr w:type="spellEnd"/>
      <w:r w:rsidRPr="00094419">
        <w:rPr>
          <w:rFonts w:asciiTheme="minorHAnsi" w:hAnsiTheme="minorHAnsi" w:cs="Arial"/>
          <w:b/>
          <w:i/>
          <w:szCs w:val="24"/>
        </w:rPr>
        <w:t xml:space="preserve"> </w:t>
      </w:r>
      <w:r w:rsidR="00C636F4">
        <w:rPr>
          <w:rFonts w:asciiTheme="minorHAnsi" w:hAnsiTheme="minorHAnsi" w:cs="Arial"/>
          <w:b/>
          <w:i/>
          <w:szCs w:val="24"/>
        </w:rPr>
        <w:t>C</w:t>
      </w:r>
      <w:r w:rsidRPr="00094419">
        <w:rPr>
          <w:rFonts w:asciiTheme="minorHAnsi" w:hAnsiTheme="minorHAnsi" w:cs="Arial"/>
          <w:b/>
          <w:i/>
          <w:szCs w:val="24"/>
        </w:rPr>
        <w:t>ouncil</w:t>
      </w:r>
      <w:r w:rsidRPr="00094419">
        <w:rPr>
          <w:rFonts w:asciiTheme="minorHAnsi" w:hAnsiTheme="minorHAnsi" w:cs="Arial"/>
          <w:b/>
          <w:szCs w:val="24"/>
        </w:rPr>
        <w:t xml:space="preserve">) afirma que Rumanía tendrá sobre capacidad en 2020-25, </w:t>
      </w:r>
      <w:r w:rsidRPr="00094419">
        <w:rPr>
          <w:rFonts w:asciiTheme="minorHAnsi" w:hAnsiTheme="minorHAnsi" w:cs="Arial"/>
          <w:szCs w:val="24"/>
        </w:rPr>
        <w:t xml:space="preserve">por lo que no sería necesario construir dos reactores en </w:t>
      </w:r>
      <w:proofErr w:type="spellStart"/>
      <w:r w:rsidRPr="00094419">
        <w:rPr>
          <w:rFonts w:asciiTheme="minorHAnsi" w:hAnsiTheme="minorHAnsi" w:cs="Arial"/>
          <w:szCs w:val="24"/>
        </w:rPr>
        <w:t>Cernavoda</w:t>
      </w:r>
      <w:proofErr w:type="spellEnd"/>
      <w:r w:rsidRPr="00094419">
        <w:rPr>
          <w:rFonts w:asciiTheme="minorHAnsi" w:hAnsiTheme="minorHAnsi" w:cs="Arial"/>
          <w:szCs w:val="24"/>
        </w:rPr>
        <w:t>. La sobrecapacidad será debida a que la legislación es muy generosa en la concesión de certificados verdes y además se prevén grandes inversiones en generación convencional. (</w:t>
      </w:r>
      <w:proofErr w:type="spellStart"/>
      <w:r w:rsidRPr="00094419">
        <w:rPr>
          <w:rFonts w:asciiTheme="minorHAnsi" w:hAnsiTheme="minorHAnsi" w:cs="Arial"/>
          <w:szCs w:val="24"/>
        </w:rPr>
        <w:t>Energo</w:t>
      </w:r>
      <w:proofErr w:type="spellEnd"/>
      <w:r w:rsidRPr="00094419">
        <w:rPr>
          <w:rFonts w:asciiTheme="minorHAnsi" w:hAnsiTheme="minorHAnsi" w:cs="Arial"/>
          <w:szCs w:val="24"/>
        </w:rPr>
        <w:t xml:space="preserve"> </w:t>
      </w:r>
      <w:proofErr w:type="spellStart"/>
      <w:r w:rsidRPr="00094419">
        <w:rPr>
          <w:rFonts w:asciiTheme="minorHAnsi" w:hAnsiTheme="minorHAnsi" w:cs="Arial"/>
          <w:szCs w:val="24"/>
        </w:rPr>
        <w:t>week</w:t>
      </w:r>
      <w:proofErr w:type="spellEnd"/>
      <w:r w:rsidRPr="00094419">
        <w:rPr>
          <w:rFonts w:asciiTheme="minorHAnsi" w:hAnsiTheme="minorHAnsi" w:cs="Arial"/>
          <w:szCs w:val="24"/>
        </w:rPr>
        <w:t xml:space="preserve"> 24)</w:t>
      </w:r>
    </w:p>
    <w:p w:rsidR="00185FCF" w:rsidRDefault="00185FCF" w:rsidP="004B3809">
      <w:pPr>
        <w:numPr>
          <w:ilvl w:val="0"/>
          <w:numId w:val="4"/>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rPr>
        <w:t xml:space="preserve">Según un estudio de </w:t>
      </w:r>
      <w:proofErr w:type="spellStart"/>
      <w:r w:rsidRPr="00094419">
        <w:rPr>
          <w:rFonts w:asciiTheme="minorHAnsi" w:hAnsiTheme="minorHAnsi" w:cs="Arial"/>
          <w:b/>
          <w:szCs w:val="24"/>
        </w:rPr>
        <w:t>Bloomberg</w:t>
      </w:r>
      <w:proofErr w:type="spellEnd"/>
      <w:r w:rsidRPr="00094419">
        <w:rPr>
          <w:rFonts w:asciiTheme="minorHAnsi" w:hAnsiTheme="minorHAnsi" w:cs="Arial"/>
          <w:b/>
          <w:szCs w:val="24"/>
        </w:rPr>
        <w:t xml:space="preserve">, el aumento de la generación intermitente hace necesaria la introducción de mecanismos de capacidad, </w:t>
      </w:r>
      <w:r w:rsidRPr="00094419">
        <w:rPr>
          <w:rFonts w:asciiTheme="minorHAnsi" w:hAnsiTheme="minorHAnsi" w:cs="Arial"/>
          <w:szCs w:val="24"/>
        </w:rPr>
        <w:t xml:space="preserve">para que exista energía de soporte. El aumento de las renovables hace que algunos países europeos no puedan asegurar el suministro cuando estas no generan energía por lo que es necesario un mecanismo que asegure la cobertura de la demanda. (REM </w:t>
      </w:r>
      <w:proofErr w:type="spellStart"/>
      <w:r w:rsidRPr="00094419">
        <w:rPr>
          <w:rFonts w:asciiTheme="minorHAnsi" w:hAnsiTheme="minorHAnsi" w:cs="Arial"/>
          <w:szCs w:val="24"/>
        </w:rPr>
        <w:t>week</w:t>
      </w:r>
      <w:proofErr w:type="spellEnd"/>
      <w:r w:rsidRPr="00094419">
        <w:rPr>
          <w:rFonts w:asciiTheme="minorHAnsi" w:hAnsiTheme="minorHAnsi" w:cs="Arial"/>
          <w:szCs w:val="24"/>
        </w:rPr>
        <w:t xml:space="preserve"> 24)</w:t>
      </w:r>
    </w:p>
    <w:p w:rsidR="00E7004E" w:rsidRPr="00E7004E" w:rsidRDefault="00E7004E" w:rsidP="00E7004E">
      <w:pPr>
        <w:numPr>
          <w:ilvl w:val="0"/>
          <w:numId w:val="4"/>
        </w:numPr>
        <w:spacing w:before="100" w:beforeAutospacing="1" w:line="276" w:lineRule="auto"/>
        <w:ind w:left="284" w:hanging="284"/>
        <w:rPr>
          <w:rFonts w:asciiTheme="minorHAnsi" w:hAnsiTheme="minorHAnsi" w:cs="Arial"/>
          <w:szCs w:val="24"/>
        </w:rPr>
      </w:pPr>
      <w:r w:rsidRPr="00E7004E">
        <w:rPr>
          <w:rFonts w:asciiTheme="minorHAnsi" w:hAnsiTheme="minorHAnsi" w:cs="Arial"/>
          <w:b/>
          <w:szCs w:val="24"/>
        </w:rPr>
        <w:t xml:space="preserve">Se celebra en Londres una reunión organizada por el Electric </w:t>
      </w:r>
      <w:proofErr w:type="spellStart"/>
      <w:r w:rsidRPr="00E7004E">
        <w:rPr>
          <w:rFonts w:asciiTheme="minorHAnsi" w:hAnsiTheme="minorHAnsi" w:cs="Arial"/>
          <w:b/>
          <w:szCs w:val="24"/>
        </w:rPr>
        <w:t>Infraestructure</w:t>
      </w:r>
      <w:proofErr w:type="spellEnd"/>
      <w:r w:rsidRPr="00E7004E">
        <w:rPr>
          <w:rFonts w:asciiTheme="minorHAnsi" w:hAnsiTheme="minorHAnsi" w:cs="Arial"/>
          <w:b/>
          <w:szCs w:val="24"/>
        </w:rPr>
        <w:t xml:space="preserve"> Security Council para analizar el riesgo de las tormentas geomagnéticas sobre las redes</w:t>
      </w:r>
      <w:r w:rsidRPr="00E7004E">
        <w:rPr>
          <w:rFonts w:asciiTheme="minorHAnsi" w:hAnsiTheme="minorHAnsi" w:cs="Arial"/>
          <w:szCs w:val="24"/>
        </w:rPr>
        <w:t xml:space="preserve">: en los EEUU la NASA lanzará nuevos satélites para analizar las erupciones solares y la NERC ya está trabajando en medidas para evitar los riesgos. (EUW 14.05) </w:t>
      </w:r>
    </w:p>
    <w:p w:rsidR="00185FCF" w:rsidRPr="00A42BB5" w:rsidRDefault="00185FCF" w:rsidP="00094419">
      <w:pPr>
        <w:pStyle w:val="Ttulo3"/>
        <w:rPr>
          <w:lang w:val="es-ES_tradnl"/>
        </w:rPr>
      </w:pPr>
      <w:r w:rsidRPr="00A42BB5">
        <w:rPr>
          <w:lang w:val="es-ES_tradnl"/>
        </w:rPr>
        <w:t>Europa – Tarifas, precios y protección al consumidor</w:t>
      </w:r>
    </w:p>
    <w:p w:rsidR="00185FCF" w:rsidRPr="00094419" w:rsidRDefault="00185FCF" w:rsidP="004B3809">
      <w:pPr>
        <w:numPr>
          <w:ilvl w:val="0"/>
          <w:numId w:val="5"/>
        </w:numPr>
        <w:spacing w:before="100" w:beforeAutospacing="1" w:line="276" w:lineRule="auto"/>
        <w:ind w:left="284" w:hanging="284"/>
        <w:rPr>
          <w:rFonts w:asciiTheme="minorHAnsi" w:hAnsiTheme="minorHAnsi"/>
          <w:b/>
          <w:szCs w:val="24"/>
          <w:lang w:val="es-ES_tradnl"/>
        </w:rPr>
      </w:pPr>
      <w:r w:rsidRPr="00094419">
        <w:rPr>
          <w:rFonts w:asciiTheme="minorHAnsi" w:hAnsiTheme="minorHAnsi"/>
          <w:b/>
          <w:szCs w:val="24"/>
          <w:lang w:val="es-ES_tradnl"/>
        </w:rPr>
        <w:t>Los precios en Estonia aumentarán un 16,8% tras la liberalización del mercado, que se producirá en 2013.</w:t>
      </w:r>
      <w:r w:rsidRPr="00094419">
        <w:rPr>
          <w:rFonts w:asciiTheme="minorHAnsi" w:hAnsiTheme="minorHAnsi"/>
        </w:rPr>
        <w:t xml:space="preserve"> Las facturas se calculan en base a 4 componentes, tarifa eléctrica, impuesto de la electricidad, peajes de redes y tasa por las renovables. La tarifa eléctrica supone el 33% del total. Se prevé esta subida porque la energía se comprará a precios </w:t>
      </w:r>
      <w:proofErr w:type="spellStart"/>
      <w:r w:rsidRPr="00094419">
        <w:rPr>
          <w:rFonts w:asciiTheme="minorHAnsi" w:hAnsiTheme="minorHAnsi"/>
        </w:rPr>
        <w:t>Nordpool</w:t>
      </w:r>
      <w:proofErr w:type="spellEnd"/>
      <w:r w:rsidRPr="00094419">
        <w:rPr>
          <w:rFonts w:asciiTheme="minorHAnsi" w:hAnsiTheme="minorHAnsi"/>
        </w:rPr>
        <w:t xml:space="preserve"> (</w:t>
      </w:r>
      <w:proofErr w:type="spellStart"/>
      <w:r w:rsidRPr="00094419">
        <w:rPr>
          <w:rFonts w:asciiTheme="minorHAnsi" w:hAnsiTheme="minorHAnsi"/>
        </w:rPr>
        <w:t>Energoweek</w:t>
      </w:r>
      <w:proofErr w:type="spellEnd"/>
      <w:r w:rsidRPr="00094419">
        <w:rPr>
          <w:rFonts w:asciiTheme="minorHAnsi" w:hAnsiTheme="minorHAnsi"/>
        </w:rPr>
        <w:t xml:space="preserve"> 17).</w:t>
      </w:r>
    </w:p>
    <w:p w:rsidR="00185FCF" w:rsidRPr="00094419" w:rsidRDefault="00185FCF" w:rsidP="004B3809">
      <w:pPr>
        <w:numPr>
          <w:ilvl w:val="0"/>
          <w:numId w:val="5"/>
        </w:numPr>
        <w:spacing w:before="100" w:beforeAutospacing="1" w:line="276" w:lineRule="auto"/>
        <w:ind w:left="284" w:hanging="284"/>
        <w:rPr>
          <w:rFonts w:asciiTheme="minorHAnsi" w:hAnsiTheme="minorHAnsi"/>
          <w:b/>
          <w:szCs w:val="24"/>
          <w:lang w:val="es-ES_tradnl"/>
        </w:rPr>
      </w:pPr>
      <w:r w:rsidRPr="00094419">
        <w:rPr>
          <w:rFonts w:asciiTheme="minorHAnsi" w:hAnsiTheme="minorHAnsi"/>
          <w:b/>
          <w:szCs w:val="24"/>
          <w:lang w:val="es-ES_tradnl"/>
        </w:rPr>
        <w:lastRenderedPageBreak/>
        <w:t xml:space="preserve">Croacia subirá sus tarifas en julio. </w:t>
      </w:r>
      <w:r w:rsidRPr="00094419">
        <w:rPr>
          <w:rFonts w:asciiTheme="minorHAnsi" w:hAnsiTheme="minorHAnsi"/>
          <w:szCs w:val="24"/>
          <w:lang w:val="es-ES_tradnl"/>
        </w:rPr>
        <w:t>Las tarifas domesticas de gas subirán un 22% y las de la electricidad un 20%. Croacia ha mantenido artificialmente bajas sus tarifas, pero deberá alinearlas con los precios de la UE debido a su próximo ingreso en julio de 2013. (</w:t>
      </w:r>
      <w:proofErr w:type="spellStart"/>
      <w:r w:rsidRPr="00094419">
        <w:rPr>
          <w:rFonts w:asciiTheme="minorHAnsi" w:hAnsiTheme="minorHAnsi"/>
          <w:szCs w:val="24"/>
          <w:lang w:val="es-ES_tradnl"/>
        </w:rPr>
        <w:t>Energoweek</w:t>
      </w:r>
      <w:proofErr w:type="spellEnd"/>
      <w:r w:rsidRPr="00094419">
        <w:rPr>
          <w:rFonts w:asciiTheme="minorHAnsi" w:hAnsiTheme="minorHAnsi"/>
          <w:szCs w:val="24"/>
          <w:lang w:val="es-ES_tradnl"/>
        </w:rPr>
        <w:t xml:space="preserve"> 17).</w:t>
      </w:r>
    </w:p>
    <w:p w:rsidR="00185FCF" w:rsidRPr="00094419" w:rsidRDefault="00185FCF" w:rsidP="004B3809">
      <w:pPr>
        <w:numPr>
          <w:ilvl w:val="0"/>
          <w:numId w:val="5"/>
        </w:numPr>
        <w:spacing w:before="100" w:beforeAutospacing="1" w:line="276" w:lineRule="auto"/>
        <w:ind w:left="284" w:hanging="284"/>
        <w:rPr>
          <w:rFonts w:asciiTheme="minorHAnsi" w:hAnsiTheme="minorHAnsi"/>
          <w:b/>
          <w:szCs w:val="24"/>
          <w:lang w:val="es-ES_tradnl"/>
        </w:rPr>
      </w:pPr>
      <w:r w:rsidRPr="00094419">
        <w:rPr>
          <w:rFonts w:asciiTheme="minorHAnsi" w:hAnsiTheme="minorHAnsi"/>
          <w:b/>
          <w:szCs w:val="24"/>
          <w:lang w:val="es-ES_tradnl"/>
        </w:rPr>
        <w:t xml:space="preserve">El gobierno belga estudia una ley retroactiva para revertir las subidas de los precios de la energía, </w:t>
      </w:r>
      <w:r w:rsidRPr="00094419">
        <w:rPr>
          <w:rFonts w:asciiTheme="minorHAnsi" w:hAnsiTheme="minorHAnsi"/>
          <w:szCs w:val="24"/>
          <w:lang w:val="es-ES_tradnl"/>
        </w:rPr>
        <w:t>introducidos por algunas empresas en los contratos de precio variable el pasado 1 de abril. Estas realizaron la subida con la justificación de que las habían bajado los seis meses anteriores, aunque debido a la presión mediática algunas ya los han reducido (EUE 04.05)</w:t>
      </w:r>
    </w:p>
    <w:p w:rsidR="00185FCF" w:rsidRPr="00094419" w:rsidRDefault="00185FCF" w:rsidP="004B3809">
      <w:pPr>
        <w:numPr>
          <w:ilvl w:val="0"/>
          <w:numId w:val="5"/>
        </w:numPr>
        <w:spacing w:before="100" w:beforeAutospacing="1" w:line="276" w:lineRule="auto"/>
        <w:ind w:left="284" w:hanging="284"/>
        <w:rPr>
          <w:rFonts w:asciiTheme="minorHAnsi" w:hAnsiTheme="minorHAnsi"/>
          <w:b/>
          <w:szCs w:val="24"/>
          <w:lang w:val="es-ES_tradnl"/>
        </w:rPr>
      </w:pPr>
      <w:r w:rsidRPr="00094419">
        <w:rPr>
          <w:rFonts w:asciiTheme="minorHAnsi" w:hAnsiTheme="minorHAnsi"/>
          <w:b/>
          <w:szCs w:val="24"/>
          <w:lang w:val="es-ES_tradnl"/>
        </w:rPr>
        <w:t xml:space="preserve">El regulador francés </w:t>
      </w:r>
      <w:r w:rsidRPr="00C636F4">
        <w:rPr>
          <w:rFonts w:asciiTheme="minorHAnsi" w:hAnsiTheme="minorHAnsi"/>
          <w:b/>
          <w:szCs w:val="24"/>
          <w:lang w:val="es-ES_tradnl"/>
        </w:rPr>
        <w:t xml:space="preserve">CRE </w:t>
      </w:r>
      <w:hyperlink r:id="rId10" w:history="1">
        <w:r w:rsidRPr="00C636F4">
          <w:rPr>
            <w:b/>
          </w:rPr>
          <w:t>aumentará las tarifas TURPE</w:t>
        </w:r>
      </w:hyperlink>
      <w:r w:rsidRPr="00C636F4">
        <w:rPr>
          <w:rFonts w:asciiTheme="minorHAnsi" w:hAnsiTheme="minorHAnsi"/>
          <w:b/>
          <w:szCs w:val="24"/>
          <w:lang w:val="es-ES_tradnl"/>
        </w:rPr>
        <w:t xml:space="preserve"> un</w:t>
      </w:r>
      <w:r w:rsidRPr="00094419">
        <w:rPr>
          <w:rFonts w:asciiTheme="minorHAnsi" w:hAnsiTheme="minorHAnsi"/>
          <w:b/>
          <w:szCs w:val="24"/>
          <w:lang w:val="es-ES_tradnl"/>
        </w:rPr>
        <w:t xml:space="preserve"> 1,8% para los consumidores domésticos y un 2,79% para los consumidores industriales a partir del 1 de agosto. </w:t>
      </w:r>
      <w:r w:rsidRPr="00094419">
        <w:rPr>
          <w:rFonts w:asciiTheme="minorHAnsi" w:hAnsiTheme="minorHAnsi"/>
          <w:szCs w:val="24"/>
          <w:lang w:val="es-ES_tradnl"/>
        </w:rPr>
        <w:t>Las TURPE son las tarifas de acceso a la red de transporte, las cuales suponen de media el 45% de la factura de electricidad (Reuters 13.06)</w:t>
      </w:r>
    </w:p>
    <w:p w:rsidR="00185FCF" w:rsidRPr="00094419" w:rsidRDefault="00185FCF" w:rsidP="004B3809">
      <w:pPr>
        <w:numPr>
          <w:ilvl w:val="0"/>
          <w:numId w:val="5"/>
        </w:numPr>
        <w:spacing w:before="100" w:beforeAutospacing="1" w:line="276" w:lineRule="auto"/>
        <w:ind w:left="284" w:hanging="284"/>
        <w:rPr>
          <w:rFonts w:asciiTheme="minorHAnsi" w:hAnsiTheme="minorHAnsi"/>
          <w:b/>
          <w:szCs w:val="24"/>
          <w:lang w:val="es-ES_tradnl"/>
        </w:rPr>
      </w:pPr>
      <w:r w:rsidRPr="00094419">
        <w:rPr>
          <w:rFonts w:asciiTheme="minorHAnsi" w:hAnsiTheme="minorHAnsi"/>
          <w:b/>
          <w:szCs w:val="24"/>
          <w:lang w:val="es-ES_tradnl"/>
        </w:rPr>
        <w:t>La CE amenaza a Francia con llevarla a los tribunales si no abandona las tarifas de gas reguladas a clientes no domésticos,</w:t>
      </w:r>
      <w:r w:rsidRPr="00094419">
        <w:rPr>
          <w:rFonts w:asciiTheme="minorHAnsi" w:hAnsiTheme="minorHAnsi"/>
          <w:szCs w:val="24"/>
          <w:lang w:val="es-ES_tradnl"/>
        </w:rPr>
        <w:t xml:space="preserve"> ya que considera que dificulta la entrada de nuevos agentes en el mercado. Francia tiene dos meses para remediar esta situación. (EUE 15.06)</w:t>
      </w:r>
    </w:p>
    <w:p w:rsidR="00185FCF" w:rsidRPr="00094419" w:rsidRDefault="00185FCF" w:rsidP="004B3809">
      <w:pPr>
        <w:numPr>
          <w:ilvl w:val="0"/>
          <w:numId w:val="5"/>
        </w:numPr>
        <w:spacing w:before="100" w:beforeAutospacing="1" w:line="276" w:lineRule="auto"/>
        <w:ind w:left="284" w:hanging="284"/>
        <w:rPr>
          <w:rFonts w:asciiTheme="minorHAnsi" w:hAnsiTheme="minorHAnsi"/>
          <w:b/>
          <w:szCs w:val="24"/>
          <w:lang w:val="es-ES_tradnl"/>
        </w:rPr>
      </w:pPr>
      <w:r w:rsidRPr="00094419">
        <w:rPr>
          <w:rFonts w:asciiTheme="minorHAnsi" w:hAnsiTheme="minorHAnsi"/>
          <w:b/>
          <w:szCs w:val="24"/>
          <w:lang w:val="es-ES_tradnl"/>
        </w:rPr>
        <w:t xml:space="preserve">Austria fija el calendario de implantación de los </w:t>
      </w:r>
      <w:proofErr w:type="spellStart"/>
      <w:r w:rsidRPr="00094419">
        <w:rPr>
          <w:rFonts w:asciiTheme="minorHAnsi" w:hAnsiTheme="minorHAnsi"/>
          <w:b/>
          <w:i/>
          <w:szCs w:val="24"/>
          <w:lang w:val="es-ES_tradnl"/>
        </w:rPr>
        <w:t>smart</w:t>
      </w:r>
      <w:proofErr w:type="spellEnd"/>
      <w:r w:rsidRPr="00094419">
        <w:rPr>
          <w:rFonts w:asciiTheme="minorHAnsi" w:hAnsiTheme="minorHAnsi"/>
          <w:b/>
          <w:i/>
          <w:szCs w:val="24"/>
          <w:lang w:val="es-ES_tradnl"/>
        </w:rPr>
        <w:t xml:space="preserve"> </w:t>
      </w:r>
      <w:proofErr w:type="spellStart"/>
      <w:r w:rsidRPr="00094419">
        <w:rPr>
          <w:rFonts w:asciiTheme="minorHAnsi" w:hAnsiTheme="minorHAnsi"/>
          <w:b/>
          <w:i/>
          <w:szCs w:val="24"/>
          <w:lang w:val="es-ES_tradnl"/>
        </w:rPr>
        <w:t>meters</w:t>
      </w:r>
      <w:proofErr w:type="spellEnd"/>
      <w:r w:rsidRPr="00094419">
        <w:rPr>
          <w:rFonts w:asciiTheme="minorHAnsi" w:hAnsiTheme="minorHAnsi"/>
          <w:b/>
          <w:i/>
          <w:szCs w:val="24"/>
          <w:lang w:val="es-ES_tradnl"/>
        </w:rPr>
        <w:t>,</w:t>
      </w:r>
      <w:r w:rsidRPr="00094419">
        <w:rPr>
          <w:rFonts w:asciiTheme="minorHAnsi" w:hAnsiTheme="minorHAnsi"/>
          <w:b/>
          <w:szCs w:val="24"/>
          <w:lang w:val="es-ES_tradnl"/>
        </w:rPr>
        <w:t xml:space="preserve"> </w:t>
      </w:r>
      <w:r w:rsidRPr="00094419">
        <w:rPr>
          <w:rFonts w:asciiTheme="minorHAnsi" w:hAnsiTheme="minorHAnsi"/>
          <w:szCs w:val="24"/>
          <w:lang w:val="es-ES_tradnl"/>
        </w:rPr>
        <w:t>con el 95% de la población cubierta para 2019, un año posterior de lo inicialmente pensado. Fija objetivos inter</w:t>
      </w:r>
      <w:r w:rsidR="00C636F4">
        <w:rPr>
          <w:rFonts w:asciiTheme="minorHAnsi" w:hAnsiTheme="minorHAnsi"/>
          <w:szCs w:val="24"/>
          <w:lang w:val="es-ES_tradnl"/>
        </w:rPr>
        <w:t>medios de 10% a finales de 2015 y de</w:t>
      </w:r>
      <w:r w:rsidRPr="00094419">
        <w:rPr>
          <w:rFonts w:asciiTheme="minorHAnsi" w:hAnsiTheme="minorHAnsi"/>
          <w:szCs w:val="24"/>
          <w:lang w:val="es-ES_tradnl"/>
        </w:rPr>
        <w:t xml:space="preserve"> 70% a finales de 2017. (EUE 18.05)</w:t>
      </w:r>
    </w:p>
    <w:p w:rsidR="00185FCF" w:rsidRPr="00094419" w:rsidRDefault="00185FCF" w:rsidP="004B3809">
      <w:pPr>
        <w:numPr>
          <w:ilvl w:val="0"/>
          <w:numId w:val="5"/>
        </w:numPr>
        <w:spacing w:before="100" w:beforeAutospacing="1" w:line="276" w:lineRule="auto"/>
        <w:ind w:left="284" w:hanging="284"/>
        <w:rPr>
          <w:rFonts w:asciiTheme="minorHAnsi" w:hAnsiTheme="minorHAnsi"/>
          <w:b/>
          <w:szCs w:val="24"/>
          <w:lang w:val="es-ES_tradnl"/>
        </w:rPr>
      </w:pPr>
      <w:r w:rsidRPr="00094419">
        <w:rPr>
          <w:rFonts w:asciiTheme="minorHAnsi" w:hAnsiTheme="minorHAnsi"/>
          <w:b/>
          <w:szCs w:val="24"/>
          <w:lang w:val="es-ES_tradnl"/>
        </w:rPr>
        <w:t xml:space="preserve">En Gran Bretaña, DECC publica su </w:t>
      </w:r>
      <w:hyperlink r:id="rId11" w:history="1">
        <w:r w:rsidRPr="00094419">
          <w:rPr>
            <w:rStyle w:val="Hipervnculo"/>
            <w:rFonts w:asciiTheme="minorHAnsi" w:hAnsiTheme="minorHAnsi"/>
            <w:b/>
            <w:szCs w:val="24"/>
            <w:lang w:val="es-ES_tradnl"/>
          </w:rPr>
          <w:t>informe</w:t>
        </w:r>
      </w:hyperlink>
      <w:r w:rsidRPr="00094419">
        <w:rPr>
          <w:rFonts w:asciiTheme="minorHAnsi" w:hAnsiTheme="minorHAnsi"/>
          <w:b/>
          <w:szCs w:val="24"/>
          <w:lang w:val="es-ES_tradnl"/>
        </w:rPr>
        <w:t xml:space="preserve"> sobre pobreza energética. </w:t>
      </w:r>
      <w:r w:rsidRPr="00094419">
        <w:rPr>
          <w:rFonts w:asciiTheme="minorHAnsi" w:hAnsiTheme="minorHAnsi"/>
          <w:szCs w:val="24"/>
          <w:lang w:val="es-ES_tradnl"/>
        </w:rPr>
        <w:t>El ‘</w:t>
      </w:r>
      <w:r w:rsidRPr="00094419">
        <w:rPr>
          <w:rFonts w:asciiTheme="minorHAnsi" w:hAnsiTheme="minorHAnsi"/>
          <w:i/>
          <w:szCs w:val="24"/>
          <w:lang w:val="es-ES_tradnl"/>
        </w:rPr>
        <w:t xml:space="preserve">Fuel </w:t>
      </w:r>
      <w:proofErr w:type="spellStart"/>
      <w:r w:rsidRPr="00094419">
        <w:rPr>
          <w:rFonts w:asciiTheme="minorHAnsi" w:hAnsiTheme="minorHAnsi"/>
          <w:i/>
          <w:szCs w:val="24"/>
          <w:lang w:val="es-ES_tradnl"/>
        </w:rPr>
        <w:t>Poverty</w:t>
      </w:r>
      <w:proofErr w:type="spellEnd"/>
      <w:r w:rsidRPr="00094419">
        <w:rPr>
          <w:rFonts w:asciiTheme="minorHAnsi" w:hAnsiTheme="minorHAnsi"/>
          <w:szCs w:val="24"/>
          <w:lang w:val="es-ES_tradnl"/>
        </w:rPr>
        <w:t xml:space="preserve">’ muestra que en Inglaterra han descendido a 3,5 millones en 2010 desde los 4 millones en 2009. En Reino Unido se redujo </w:t>
      </w:r>
      <w:r w:rsidR="00C636F4">
        <w:rPr>
          <w:rFonts w:asciiTheme="minorHAnsi" w:hAnsiTheme="minorHAnsi"/>
          <w:szCs w:val="24"/>
          <w:lang w:val="es-ES_tradnl"/>
        </w:rPr>
        <w:t xml:space="preserve">de </w:t>
      </w:r>
      <w:r w:rsidRPr="00094419">
        <w:rPr>
          <w:rFonts w:asciiTheme="minorHAnsi" w:hAnsiTheme="minorHAnsi"/>
          <w:szCs w:val="24"/>
          <w:lang w:val="es-ES_tradnl"/>
        </w:rPr>
        <w:t>5,5 a 4,75 millones. La reducción se debe al aumento de ingresos y mejora de la eficiencia energética. (DECC 17.05)</w:t>
      </w:r>
      <w:r w:rsidR="00C636F4">
        <w:rPr>
          <w:rFonts w:asciiTheme="minorHAnsi" w:hAnsiTheme="minorHAnsi"/>
          <w:szCs w:val="24"/>
          <w:lang w:val="es-ES_tradnl"/>
        </w:rPr>
        <w:t xml:space="preserve"> y </w:t>
      </w:r>
      <w:r w:rsidRPr="00094419">
        <w:rPr>
          <w:rFonts w:asciiTheme="minorHAnsi" w:hAnsiTheme="minorHAnsi"/>
          <w:szCs w:val="24"/>
          <w:lang w:val="es-ES_tradnl"/>
        </w:rPr>
        <w:t>(EUE 01.06)</w:t>
      </w:r>
    </w:p>
    <w:p w:rsidR="00185FCF" w:rsidRPr="00094419" w:rsidRDefault="00185FCF" w:rsidP="004B3809">
      <w:pPr>
        <w:numPr>
          <w:ilvl w:val="0"/>
          <w:numId w:val="5"/>
        </w:numPr>
        <w:spacing w:before="100" w:beforeAutospacing="1" w:line="276" w:lineRule="auto"/>
        <w:ind w:left="284" w:hanging="284"/>
        <w:rPr>
          <w:rFonts w:asciiTheme="minorHAnsi" w:hAnsiTheme="minorHAnsi"/>
          <w:b/>
          <w:szCs w:val="24"/>
          <w:lang w:val="es-ES_tradnl"/>
        </w:rPr>
      </w:pPr>
      <w:r w:rsidRPr="00094419">
        <w:rPr>
          <w:rFonts w:asciiTheme="minorHAnsi" w:hAnsiTheme="minorHAnsi"/>
          <w:b/>
          <w:szCs w:val="24"/>
          <w:lang w:val="es-ES_tradnl"/>
        </w:rPr>
        <w:t xml:space="preserve">Según un </w:t>
      </w:r>
      <w:hyperlink r:id="rId12" w:history="1">
        <w:r w:rsidRPr="00094419">
          <w:rPr>
            <w:rStyle w:val="Hipervnculo"/>
            <w:rFonts w:asciiTheme="minorHAnsi" w:hAnsiTheme="minorHAnsi"/>
            <w:b/>
            <w:szCs w:val="24"/>
            <w:lang w:val="es-ES_tradnl"/>
          </w:rPr>
          <w:t>estudio</w:t>
        </w:r>
      </w:hyperlink>
      <w:r w:rsidRPr="00094419">
        <w:rPr>
          <w:rFonts w:asciiTheme="minorHAnsi" w:hAnsiTheme="minorHAnsi"/>
          <w:b/>
          <w:szCs w:val="24"/>
          <w:lang w:val="es-ES_tradnl"/>
        </w:rPr>
        <w:t xml:space="preserve"> de </w:t>
      </w:r>
      <w:proofErr w:type="spellStart"/>
      <w:r w:rsidRPr="00094419">
        <w:rPr>
          <w:rFonts w:asciiTheme="minorHAnsi" w:hAnsiTheme="minorHAnsi"/>
          <w:b/>
          <w:szCs w:val="24"/>
          <w:lang w:val="es-ES_tradnl"/>
        </w:rPr>
        <w:t>VaasaETT</w:t>
      </w:r>
      <w:proofErr w:type="spellEnd"/>
      <w:r w:rsidRPr="00094419">
        <w:rPr>
          <w:rFonts w:asciiTheme="minorHAnsi" w:hAnsiTheme="minorHAnsi"/>
          <w:b/>
          <w:szCs w:val="24"/>
          <w:lang w:val="es-ES_tradnl"/>
        </w:rPr>
        <w:t xml:space="preserve">, sobre precios minoristas, las tarifas residenciales no han dejado de aumentar en 2011. </w:t>
      </w:r>
      <w:r w:rsidRPr="00094419">
        <w:rPr>
          <w:rFonts w:asciiTheme="minorHAnsi" w:hAnsiTheme="minorHAnsi"/>
          <w:szCs w:val="24"/>
          <w:lang w:val="es-ES_tradnl"/>
        </w:rPr>
        <w:t>En el análisis se muestra además que la subida corresponde principalmente al aumento de los costes regulados (costes de distribución, IVA y otros impuestos). (PIE 25.06)</w:t>
      </w:r>
    </w:p>
    <w:p w:rsidR="00185FCF" w:rsidRPr="00A42BB5" w:rsidRDefault="00185FCF" w:rsidP="00094419">
      <w:pPr>
        <w:pStyle w:val="Ttulo3"/>
        <w:rPr>
          <w:lang w:val="es-ES_tradnl"/>
        </w:rPr>
      </w:pPr>
      <w:proofErr w:type="spellStart"/>
      <w:r w:rsidRPr="00A42BB5">
        <w:rPr>
          <w:lang w:val="en-US"/>
        </w:rPr>
        <w:t>Europa</w:t>
      </w:r>
      <w:proofErr w:type="spellEnd"/>
      <w:r w:rsidRPr="00A42BB5">
        <w:rPr>
          <w:lang w:val="en-US"/>
        </w:rPr>
        <w:t xml:space="preserve"> –</w:t>
      </w:r>
      <w:r>
        <w:rPr>
          <w:lang w:val="en-US"/>
        </w:rPr>
        <w:t xml:space="preserve"> </w:t>
      </w:r>
      <w:proofErr w:type="spellStart"/>
      <w:r w:rsidRPr="00A42BB5">
        <w:rPr>
          <w:lang w:val="en-US"/>
        </w:rPr>
        <w:t>Redes</w:t>
      </w:r>
      <w:proofErr w:type="spellEnd"/>
      <w:r w:rsidRPr="00A42BB5">
        <w:rPr>
          <w:lang w:val="en-US"/>
        </w:rPr>
        <w:t xml:space="preserve"> e </w:t>
      </w:r>
      <w:proofErr w:type="spellStart"/>
      <w:r w:rsidRPr="00A42BB5">
        <w:rPr>
          <w:lang w:val="en-US"/>
        </w:rPr>
        <w:t>i</w:t>
      </w:r>
      <w:r w:rsidRPr="00A42BB5">
        <w:rPr>
          <w:lang w:val="es-ES_tradnl"/>
        </w:rPr>
        <w:t>nfraestructuras</w:t>
      </w:r>
      <w:proofErr w:type="spellEnd"/>
    </w:p>
    <w:p w:rsidR="00185FCF" w:rsidRPr="00D246EB" w:rsidRDefault="00185FCF" w:rsidP="004B3809">
      <w:pPr>
        <w:numPr>
          <w:ilvl w:val="0"/>
          <w:numId w:val="6"/>
        </w:numPr>
        <w:spacing w:before="100" w:beforeAutospacing="1" w:line="276" w:lineRule="auto"/>
        <w:ind w:left="284" w:hanging="284"/>
      </w:pPr>
      <w:r>
        <w:rPr>
          <w:b/>
        </w:rPr>
        <w:t xml:space="preserve">Reino Unido y Dinamarca estudian la posibilidad de construir un cable submarino entre ambos países: </w:t>
      </w:r>
      <w:r w:rsidRPr="009B7A9D">
        <w:t xml:space="preserve">se prevé que el estudio de viabilidad esté terminado para </w:t>
      </w:r>
      <w:r w:rsidR="00C636F4">
        <w:t>2012</w:t>
      </w:r>
      <w:r w:rsidRPr="009B7A9D">
        <w:t xml:space="preserve"> y servirá para determinar la posibilidad de construcción del mismo. Los TSO analizarán también la posibilidad de integrarlo con la “</w:t>
      </w:r>
      <w:proofErr w:type="spellStart"/>
      <w:r w:rsidRPr="009B7A9D">
        <w:rPr>
          <w:i/>
        </w:rPr>
        <w:t>supergrid</w:t>
      </w:r>
      <w:proofErr w:type="spellEnd"/>
      <w:r w:rsidRPr="009B7A9D">
        <w:t>” del mar del Norte. (EUE 04.05)</w:t>
      </w:r>
      <w:r w:rsidRPr="00C640BB">
        <w:rPr>
          <w:b/>
        </w:rPr>
        <w:t xml:space="preserve"> </w:t>
      </w:r>
    </w:p>
    <w:p w:rsidR="00185FCF" w:rsidRPr="00AF4112" w:rsidRDefault="00185FCF" w:rsidP="004B3809">
      <w:pPr>
        <w:numPr>
          <w:ilvl w:val="0"/>
          <w:numId w:val="6"/>
        </w:numPr>
        <w:spacing w:before="100" w:beforeAutospacing="1" w:line="276" w:lineRule="auto"/>
        <w:ind w:left="284" w:hanging="284"/>
      </w:pPr>
      <w:r>
        <w:rPr>
          <w:b/>
        </w:rPr>
        <w:t xml:space="preserve">Reino Unido y Noruega acuerdan la construcción de un cable submarino que estará operativo para 2020, </w:t>
      </w:r>
      <w:r w:rsidRPr="00D246EB">
        <w:t>el cual tendrá 700</w:t>
      </w:r>
      <w:r w:rsidR="00C636F4">
        <w:t xml:space="preserve"> </w:t>
      </w:r>
      <w:r w:rsidRPr="00D246EB">
        <w:t>km y 1,4</w:t>
      </w:r>
      <w:r w:rsidR="00C636F4">
        <w:t xml:space="preserve"> </w:t>
      </w:r>
      <w:r w:rsidRPr="00D246EB">
        <w:t>GW. Además</w:t>
      </w:r>
      <w:r w:rsidR="00C636F4">
        <w:t>,</w:t>
      </w:r>
      <w:r>
        <w:t xml:space="preserve"> </w:t>
      </w:r>
      <w:r w:rsidRPr="00D246EB">
        <w:rPr>
          <w:b/>
        </w:rPr>
        <w:t>se construirá otro cable que unirá Noruega con Alemania en 2018</w:t>
      </w:r>
      <w:r>
        <w:t>, de 1,4</w:t>
      </w:r>
      <w:r w:rsidR="00C636F4">
        <w:t xml:space="preserve"> </w:t>
      </w:r>
      <w:r>
        <w:t>GW y 630</w:t>
      </w:r>
      <w:r w:rsidR="00C636F4">
        <w:t xml:space="preserve"> </w:t>
      </w:r>
      <w:r>
        <w:t>km. Ambos cables servirán para integrar los mercados del norte de Europa. (PIE 25.06)</w:t>
      </w:r>
      <w:r w:rsidR="00C636F4">
        <w:t xml:space="preserve"> y </w:t>
      </w:r>
      <w:r>
        <w:t xml:space="preserve">(REM </w:t>
      </w:r>
      <w:proofErr w:type="spellStart"/>
      <w:r>
        <w:t>week</w:t>
      </w:r>
      <w:proofErr w:type="spellEnd"/>
      <w:r>
        <w:t xml:space="preserve"> 25) </w:t>
      </w:r>
    </w:p>
    <w:p w:rsidR="00185FCF" w:rsidRDefault="00185FCF" w:rsidP="004B3809">
      <w:pPr>
        <w:numPr>
          <w:ilvl w:val="0"/>
          <w:numId w:val="6"/>
        </w:numPr>
        <w:spacing w:before="100" w:beforeAutospacing="1" w:line="276" w:lineRule="auto"/>
        <w:ind w:left="284" w:hanging="284"/>
      </w:pPr>
      <w:r>
        <w:rPr>
          <w:b/>
        </w:rPr>
        <w:t>El operador italiano Terna invertirá 2.</w:t>
      </w:r>
      <w:r w:rsidRPr="00F9266D">
        <w:rPr>
          <w:b/>
        </w:rPr>
        <w:t>500</w:t>
      </w:r>
      <w:r>
        <w:rPr>
          <w:b/>
        </w:rPr>
        <w:t xml:space="preserve"> </w:t>
      </w:r>
      <w:r w:rsidRPr="00F9266D">
        <w:rPr>
          <w:b/>
        </w:rPr>
        <w:t>Mill</w:t>
      </w:r>
      <w:r>
        <w:rPr>
          <w:b/>
        </w:rPr>
        <w:t>.</w:t>
      </w:r>
      <w:r w:rsidRPr="00F9266D">
        <w:rPr>
          <w:b/>
        </w:rPr>
        <w:t xml:space="preserve">EUR en </w:t>
      </w:r>
      <w:r>
        <w:rPr>
          <w:b/>
        </w:rPr>
        <w:t>mejorar</w:t>
      </w:r>
      <w:r w:rsidRPr="00F9266D">
        <w:rPr>
          <w:b/>
        </w:rPr>
        <w:t xml:space="preserve"> las redes de transporte de electricidad durante 2012-2016</w:t>
      </w:r>
      <w:r>
        <w:t>. Se fomentarán las conexiones nacionales e internacionales para adaptarlas a un mejor y eficiente uso de las energías renovables, además</w:t>
      </w:r>
      <w:r w:rsidR="00C636F4">
        <w:t>,</w:t>
      </w:r>
      <w:r>
        <w:t xml:space="preserve"> de mejorar las infraestructuras y desarrollar redes inteligentes (EUE 04.05)</w:t>
      </w:r>
    </w:p>
    <w:p w:rsidR="00185FCF" w:rsidRDefault="00185FCF" w:rsidP="004B3809">
      <w:pPr>
        <w:numPr>
          <w:ilvl w:val="0"/>
          <w:numId w:val="6"/>
        </w:numPr>
        <w:spacing w:before="100" w:beforeAutospacing="1" w:line="276" w:lineRule="auto"/>
        <w:ind w:left="284" w:hanging="284"/>
      </w:pPr>
      <w:r w:rsidRPr="006B36A6">
        <w:rPr>
          <w:b/>
        </w:rPr>
        <w:lastRenderedPageBreak/>
        <w:t>El gobierno danés dará acceso prioritario a la red a las renovables en momentos de congestión.</w:t>
      </w:r>
      <w:r>
        <w:t xml:space="preserve"> En periodos de congestión la capacidad convencional será la primera en retirarse, seguida de cogeneración, biomasa, eólica y solar. El coste de la capacidad retirada se dividirá entre todos los participantes, incluidos los renovables</w:t>
      </w:r>
      <w:r w:rsidR="00C636F4">
        <w:t>.</w:t>
      </w:r>
      <w:r>
        <w:t xml:space="preserve"> (EUE 04.05)</w:t>
      </w:r>
    </w:p>
    <w:p w:rsidR="00185FCF" w:rsidRDefault="00185FCF" w:rsidP="004B3809">
      <w:pPr>
        <w:numPr>
          <w:ilvl w:val="0"/>
          <w:numId w:val="6"/>
        </w:numPr>
        <w:spacing w:before="100" w:beforeAutospacing="1" w:line="276" w:lineRule="auto"/>
        <w:ind w:left="284" w:hanging="284"/>
      </w:pPr>
      <w:r>
        <w:rPr>
          <w:b/>
        </w:rPr>
        <w:t xml:space="preserve">Una empresa islandesa estudia conectar la isla con Europa, para exportar energía verde de origen geotérmico. </w:t>
      </w:r>
      <w:r w:rsidRPr="00DC1359">
        <w:t>El cable submarino tendría una longitud de 700-1500 millas</w:t>
      </w:r>
      <w:r>
        <w:t xml:space="preserve"> (1126-2414</w:t>
      </w:r>
      <w:r w:rsidR="00C636F4">
        <w:t xml:space="preserve"> </w:t>
      </w:r>
      <w:r>
        <w:t>km)</w:t>
      </w:r>
      <w:r w:rsidRPr="00DC1359">
        <w:t xml:space="preserve">. De momento se está en la fase de estudio que durará un año y medio. (REM </w:t>
      </w:r>
      <w:proofErr w:type="spellStart"/>
      <w:r w:rsidRPr="00DC1359">
        <w:t>week</w:t>
      </w:r>
      <w:proofErr w:type="spellEnd"/>
      <w:r w:rsidRPr="00DC1359">
        <w:t xml:space="preserve"> 17)</w:t>
      </w:r>
    </w:p>
    <w:p w:rsidR="00185FCF" w:rsidRPr="009B7A9D" w:rsidRDefault="00185FCF" w:rsidP="004B3809">
      <w:pPr>
        <w:numPr>
          <w:ilvl w:val="0"/>
          <w:numId w:val="6"/>
        </w:numPr>
        <w:spacing w:before="100" w:beforeAutospacing="1" w:line="276" w:lineRule="auto"/>
        <w:ind w:left="284" w:hanging="284"/>
      </w:pPr>
      <w:r>
        <w:rPr>
          <w:b/>
        </w:rPr>
        <w:t>El operador de redes irlandés, mejorara las redes con el fin de exportar energía verde a Gran Bretaña.</w:t>
      </w:r>
      <w:r>
        <w:t xml:space="preserve"> El coste total de las inversiones asciende a 350 </w:t>
      </w:r>
      <w:proofErr w:type="spellStart"/>
      <w:r>
        <w:t>Mill</w:t>
      </w:r>
      <w:proofErr w:type="spellEnd"/>
      <w:r>
        <w:t xml:space="preserve">. EUR. (REM </w:t>
      </w:r>
      <w:proofErr w:type="spellStart"/>
      <w:r>
        <w:t>week</w:t>
      </w:r>
      <w:proofErr w:type="spellEnd"/>
      <w:r>
        <w:t xml:space="preserve"> 18)</w:t>
      </w:r>
    </w:p>
    <w:p w:rsidR="00185FCF" w:rsidRPr="00814DCA" w:rsidRDefault="00185FCF" w:rsidP="004B3809">
      <w:pPr>
        <w:numPr>
          <w:ilvl w:val="0"/>
          <w:numId w:val="6"/>
        </w:numPr>
        <w:spacing w:before="100" w:beforeAutospacing="1" w:line="276" w:lineRule="auto"/>
        <w:ind w:left="284" w:hanging="284"/>
      </w:pPr>
      <w:r w:rsidRPr="00E16643">
        <w:rPr>
          <w:b/>
        </w:rPr>
        <w:t>Las redes suizas necesitarán 15.000</w:t>
      </w:r>
      <w:r>
        <w:rPr>
          <w:b/>
        </w:rPr>
        <w:t xml:space="preserve"> </w:t>
      </w:r>
      <w:r w:rsidRPr="00E16643">
        <w:rPr>
          <w:b/>
        </w:rPr>
        <w:t>Mill</w:t>
      </w:r>
      <w:r>
        <w:rPr>
          <w:b/>
        </w:rPr>
        <w:t>.</w:t>
      </w:r>
      <w:r w:rsidRPr="00E16643">
        <w:rPr>
          <w:b/>
        </w:rPr>
        <w:t>EUR de inversión hasta 2050</w:t>
      </w:r>
      <w:r>
        <w:t>, para poder hacer frente al abandono de la nuclear, las renovables y la generación no centralizada. Las inversiones servirán para mejorar y ampliar la red de transporte y de distribución. El Gobierno propondrá legislación en otoño para impulsar su construcción. (EUE 01.</w:t>
      </w:r>
      <w:r w:rsidRPr="00864917">
        <w:t>06)</w:t>
      </w:r>
      <w:r>
        <w:t>.</w:t>
      </w:r>
    </w:p>
    <w:p w:rsidR="00185FCF" w:rsidRPr="00A42BB5" w:rsidRDefault="00185FCF" w:rsidP="00094419">
      <w:pPr>
        <w:pStyle w:val="Ttulo3"/>
        <w:rPr>
          <w:lang w:val="es-ES_tradnl"/>
        </w:rPr>
      </w:pPr>
      <w:r w:rsidRPr="00A42BB5">
        <w:rPr>
          <w:lang w:val="es-ES_tradnl"/>
        </w:rPr>
        <w:t>Europa – Nuclear</w:t>
      </w:r>
    </w:p>
    <w:p w:rsidR="00185FCF" w:rsidRPr="00E80434" w:rsidRDefault="00185FCF" w:rsidP="004B3809">
      <w:pPr>
        <w:numPr>
          <w:ilvl w:val="0"/>
          <w:numId w:val="7"/>
        </w:numPr>
        <w:spacing w:before="100" w:beforeAutospacing="1" w:line="276" w:lineRule="auto"/>
        <w:ind w:left="284" w:hanging="284"/>
        <w:rPr>
          <w:szCs w:val="24"/>
        </w:rPr>
      </w:pPr>
      <w:r>
        <w:rPr>
          <w:b/>
          <w:szCs w:val="24"/>
          <w:lang w:val="es-ES_tradnl"/>
        </w:rPr>
        <w:t xml:space="preserve">Bélgica decidirá el calendario de abandono de la nuclear en julio: </w:t>
      </w:r>
      <w:r w:rsidRPr="00032900">
        <w:rPr>
          <w:szCs w:val="24"/>
          <w:lang w:val="es-ES_tradnl"/>
        </w:rPr>
        <w:t xml:space="preserve">el </w:t>
      </w:r>
      <w:r>
        <w:rPr>
          <w:szCs w:val="24"/>
          <w:lang w:val="es-ES_tradnl"/>
        </w:rPr>
        <w:t>G</w:t>
      </w:r>
      <w:r w:rsidRPr="00032900">
        <w:rPr>
          <w:szCs w:val="24"/>
          <w:lang w:val="es-ES_tradnl"/>
        </w:rPr>
        <w:t>obierno quiere cerrar 3 reactores con 1,8</w:t>
      </w:r>
      <w:r w:rsidR="00037398">
        <w:rPr>
          <w:szCs w:val="24"/>
          <w:lang w:val="es-ES_tradnl"/>
        </w:rPr>
        <w:t xml:space="preserve"> </w:t>
      </w:r>
      <w:r w:rsidR="001F0DA3">
        <w:rPr>
          <w:szCs w:val="24"/>
          <w:lang w:val="es-ES_tradnl"/>
        </w:rPr>
        <w:t>GW de capacidad para 2015</w:t>
      </w:r>
      <w:r w:rsidRPr="00032900">
        <w:rPr>
          <w:szCs w:val="24"/>
          <w:lang w:val="es-ES_tradnl"/>
        </w:rPr>
        <w:t xml:space="preserve"> </w:t>
      </w:r>
      <w:r>
        <w:rPr>
          <w:szCs w:val="24"/>
          <w:lang w:val="es-ES_tradnl"/>
        </w:rPr>
        <w:t xml:space="preserve">y </w:t>
      </w:r>
      <w:r w:rsidRPr="00032900">
        <w:rPr>
          <w:szCs w:val="24"/>
          <w:lang w:val="es-ES_tradnl"/>
        </w:rPr>
        <w:t>sustituir</w:t>
      </w:r>
      <w:r>
        <w:rPr>
          <w:szCs w:val="24"/>
          <w:lang w:val="es-ES_tradnl"/>
        </w:rPr>
        <w:t xml:space="preserve">los </w:t>
      </w:r>
      <w:r w:rsidRPr="00032900">
        <w:rPr>
          <w:szCs w:val="24"/>
          <w:lang w:val="es-ES_tradnl"/>
        </w:rPr>
        <w:t xml:space="preserve">con </w:t>
      </w:r>
      <w:r>
        <w:rPr>
          <w:szCs w:val="24"/>
          <w:lang w:val="es-ES_tradnl"/>
        </w:rPr>
        <w:t xml:space="preserve">eólica </w:t>
      </w:r>
      <w:r w:rsidRPr="00032900">
        <w:rPr>
          <w:szCs w:val="24"/>
          <w:lang w:val="es-ES_tradnl"/>
        </w:rPr>
        <w:t>offshore y gas. Además</w:t>
      </w:r>
      <w:r w:rsidR="00037398">
        <w:rPr>
          <w:szCs w:val="24"/>
          <w:lang w:val="es-ES_tradnl"/>
        </w:rPr>
        <w:t>,</w:t>
      </w:r>
      <w:r w:rsidRPr="00032900">
        <w:rPr>
          <w:szCs w:val="24"/>
          <w:lang w:val="es-ES_tradnl"/>
        </w:rPr>
        <w:t xml:space="preserve"> el gobierno quiere tasar al sector nuclear con 550 Mill</w:t>
      </w:r>
      <w:r>
        <w:rPr>
          <w:szCs w:val="24"/>
          <w:lang w:val="es-ES_tradnl"/>
        </w:rPr>
        <w:t>.</w:t>
      </w:r>
      <w:r w:rsidRPr="00032900">
        <w:rPr>
          <w:szCs w:val="24"/>
          <w:lang w:val="es-ES_tradnl"/>
        </w:rPr>
        <w:t>EUR en 2012 por el uso de la energía nuclear. (EUE 04.0</w:t>
      </w:r>
      <w:r w:rsidRPr="00E80434">
        <w:rPr>
          <w:szCs w:val="24"/>
          <w:lang w:val="es-ES_tradnl"/>
        </w:rPr>
        <w:t>5)</w:t>
      </w:r>
      <w:r w:rsidR="00037398">
        <w:rPr>
          <w:szCs w:val="24"/>
          <w:lang w:val="es-ES_tradnl"/>
        </w:rPr>
        <w:t>.</w:t>
      </w:r>
      <w:r w:rsidRPr="00E80434">
        <w:rPr>
          <w:szCs w:val="24"/>
          <w:lang w:val="es-ES_tradnl"/>
        </w:rPr>
        <w:t xml:space="preserve"> </w:t>
      </w:r>
      <w:r>
        <w:rPr>
          <w:szCs w:val="24"/>
          <w:lang w:val="es-ES_tradnl"/>
        </w:rPr>
        <w:t xml:space="preserve">El </w:t>
      </w:r>
      <w:r w:rsidRPr="001070F1">
        <w:rPr>
          <w:b/>
          <w:szCs w:val="24"/>
          <w:lang w:val="es-ES_tradnl"/>
        </w:rPr>
        <w:t xml:space="preserve">gobierno también está considerando extender 10 años la vida útil de algunas centrales nucleares </w:t>
      </w:r>
      <w:r w:rsidRPr="00E80434">
        <w:rPr>
          <w:szCs w:val="24"/>
          <w:lang w:val="es-ES_tradnl"/>
        </w:rPr>
        <w:t>que tienen previsto cerrar en 2015</w:t>
      </w:r>
      <w:r>
        <w:rPr>
          <w:szCs w:val="24"/>
          <w:lang w:val="es-ES_tradnl"/>
        </w:rPr>
        <w:t>. Se espera la publicación de una comunicación el 21 de julio. (UBS 26.06)</w:t>
      </w:r>
    </w:p>
    <w:p w:rsidR="00185FCF" w:rsidRDefault="00185FCF" w:rsidP="004B3809">
      <w:pPr>
        <w:numPr>
          <w:ilvl w:val="0"/>
          <w:numId w:val="7"/>
        </w:numPr>
        <w:spacing w:before="100" w:beforeAutospacing="1" w:line="276" w:lineRule="auto"/>
        <w:ind w:left="284" w:hanging="284"/>
        <w:rPr>
          <w:szCs w:val="24"/>
        </w:rPr>
      </w:pPr>
      <w:r>
        <w:rPr>
          <w:b/>
          <w:szCs w:val="24"/>
          <w:lang w:val="es-ES_tradnl"/>
        </w:rPr>
        <w:t>Según el gobierno polaco, el primer reactor estará disponible en 2023:</w:t>
      </w:r>
      <w:r>
        <w:rPr>
          <w:szCs w:val="24"/>
        </w:rPr>
        <w:t xml:space="preserve"> la empresa polaca PGE está invirtiendo en la construcción de dos centrales nucleares para 2030. Se espera que la segunda esté disponible en 2029. (EUE 18.05). </w:t>
      </w:r>
    </w:p>
    <w:p w:rsidR="00185FCF" w:rsidRDefault="00185FCF" w:rsidP="004B3809">
      <w:pPr>
        <w:numPr>
          <w:ilvl w:val="0"/>
          <w:numId w:val="7"/>
        </w:numPr>
        <w:spacing w:before="100" w:beforeAutospacing="1" w:line="276" w:lineRule="auto"/>
        <w:ind w:left="284" w:hanging="284"/>
        <w:rPr>
          <w:szCs w:val="24"/>
        </w:rPr>
      </w:pPr>
      <w:r w:rsidRPr="00D1130B">
        <w:rPr>
          <w:b/>
          <w:szCs w:val="24"/>
        </w:rPr>
        <w:t xml:space="preserve">Lituania aprueba la construcción de la central nuclear de </w:t>
      </w:r>
      <w:proofErr w:type="spellStart"/>
      <w:r w:rsidRPr="00D1130B">
        <w:rPr>
          <w:b/>
          <w:szCs w:val="24"/>
        </w:rPr>
        <w:t>Visaginas</w:t>
      </w:r>
      <w:proofErr w:type="spellEnd"/>
      <w:r w:rsidRPr="00D1130B">
        <w:rPr>
          <w:b/>
          <w:szCs w:val="24"/>
        </w:rPr>
        <w:t>.</w:t>
      </w:r>
      <w:r>
        <w:rPr>
          <w:szCs w:val="24"/>
        </w:rPr>
        <w:t xml:space="preserve"> El capital se reparte entre Lituania (38%), Estonia (22%) y Letonia (20%) y se espera esté operativa a finales de 2022. (EUE 29.06)</w:t>
      </w:r>
    </w:p>
    <w:p w:rsidR="00185FCF" w:rsidRPr="00A42BB5" w:rsidRDefault="00185FCF" w:rsidP="00094419">
      <w:pPr>
        <w:pStyle w:val="Ttulo3"/>
        <w:rPr>
          <w:lang w:val="es-ES_tradnl"/>
        </w:rPr>
      </w:pPr>
      <w:r w:rsidRPr="00A42BB5">
        <w:rPr>
          <w:lang w:val="es-ES_tradnl"/>
        </w:rPr>
        <w:t>Europa – Gas</w:t>
      </w:r>
    </w:p>
    <w:p w:rsidR="00185FCF" w:rsidRPr="000917E9" w:rsidRDefault="00185FCF" w:rsidP="004B3809">
      <w:pPr>
        <w:numPr>
          <w:ilvl w:val="0"/>
          <w:numId w:val="8"/>
        </w:numPr>
        <w:spacing w:before="100" w:beforeAutospacing="1" w:line="276" w:lineRule="auto"/>
        <w:ind w:left="284" w:hanging="284"/>
      </w:pPr>
      <w:r>
        <w:rPr>
          <w:b/>
        </w:rPr>
        <w:t xml:space="preserve">El regulador de redes alemán BNA saca a consulta pública su primer plan de redes de gas a 10 años. </w:t>
      </w:r>
      <w:r w:rsidRPr="00117C6A">
        <w:t>El borrador del plan ha sido elaborado por los 14 TSO de gas y está a la espera de su aprobación final. Se prevén inversiones de 2.200</w:t>
      </w:r>
      <w:r>
        <w:t xml:space="preserve"> </w:t>
      </w:r>
      <w:r w:rsidRPr="00117C6A">
        <w:t>Mill.EUR para los próximos 10 años, incluyendo medidas de expansión de la red. (EUE 04.05</w:t>
      </w:r>
      <w:r w:rsidRPr="00117C6A">
        <w:rPr>
          <w:szCs w:val="24"/>
          <w:lang w:val="es-ES_tradnl"/>
        </w:rPr>
        <w:t>)</w:t>
      </w:r>
      <w:r>
        <w:rPr>
          <w:szCs w:val="24"/>
          <w:lang w:val="es-ES_tradnl"/>
        </w:rPr>
        <w:t>.</w:t>
      </w:r>
    </w:p>
    <w:p w:rsidR="00185FCF" w:rsidRDefault="00185FCF" w:rsidP="004B3809">
      <w:pPr>
        <w:numPr>
          <w:ilvl w:val="0"/>
          <w:numId w:val="8"/>
        </w:numPr>
        <w:spacing w:before="100" w:beforeAutospacing="1" w:line="276" w:lineRule="auto"/>
        <w:ind w:left="284" w:hanging="284"/>
      </w:pPr>
      <w:r>
        <w:rPr>
          <w:b/>
        </w:rPr>
        <w:t xml:space="preserve">Polonia no desregulará las tarifas domesticas de gas antes de 2015, y todo dependerá del grado y dinámica del proceso para introducir competencia. </w:t>
      </w:r>
      <w:r w:rsidRPr="000917E9">
        <w:t>La UE quiere que libere los precios argumentando que dificultan la entrada a nuevos competidores e impide el derecho de elección a los clientes. (EUE 01.06)</w:t>
      </w:r>
    </w:p>
    <w:p w:rsidR="00185FCF" w:rsidRDefault="00185FCF" w:rsidP="004B3809">
      <w:pPr>
        <w:numPr>
          <w:ilvl w:val="0"/>
          <w:numId w:val="8"/>
        </w:numPr>
        <w:spacing w:before="100" w:beforeAutospacing="1" w:line="276" w:lineRule="auto"/>
        <w:ind w:left="284" w:hanging="284"/>
      </w:pPr>
      <w:r>
        <w:rPr>
          <w:b/>
        </w:rPr>
        <w:t xml:space="preserve">Chipre estudia exportar a Europa su propio gas, </w:t>
      </w:r>
      <w:r>
        <w:t>tras el descubrimi</w:t>
      </w:r>
      <w:r w:rsidRPr="00E90049">
        <w:t xml:space="preserve">ento de un pozo de gas natural en el sur del país. Quiere comenzar con la </w:t>
      </w:r>
      <w:r w:rsidR="001F0DA3">
        <w:t xml:space="preserve">entrega de gas en el mercado local y la construcción de una </w:t>
      </w:r>
      <w:r w:rsidR="001F0DA3">
        <w:lastRenderedPageBreak/>
        <w:t>instalación de GNL.</w:t>
      </w:r>
      <w:r w:rsidRPr="00E90049">
        <w:t xml:space="preserve"> </w:t>
      </w:r>
      <w:r>
        <w:t>Además</w:t>
      </w:r>
      <w:r w:rsidR="00037398">
        <w:t>,</w:t>
      </w:r>
      <w:r>
        <w:t xml:space="preserve"> estudia</w:t>
      </w:r>
      <w:r w:rsidRPr="00E90049">
        <w:t xml:space="preserve"> crear un fondo con los futuros ingresos del gas</w:t>
      </w:r>
      <w:r>
        <w:t xml:space="preserve"> y la construcción</w:t>
      </w:r>
      <w:r w:rsidRPr="00E90049">
        <w:t xml:space="preserve"> en 3 años una red de gasoductos de 80</w:t>
      </w:r>
      <w:r w:rsidR="00037398">
        <w:t xml:space="preserve"> </w:t>
      </w:r>
      <w:r w:rsidRPr="00E90049">
        <w:t>km. (EUE 16.05)</w:t>
      </w:r>
    </w:p>
    <w:p w:rsidR="00185FCF" w:rsidRDefault="00185FCF" w:rsidP="004B3809">
      <w:pPr>
        <w:numPr>
          <w:ilvl w:val="0"/>
          <w:numId w:val="8"/>
        </w:numPr>
        <w:spacing w:before="100" w:beforeAutospacing="1" w:line="276" w:lineRule="auto"/>
        <w:ind w:left="284" w:hanging="284"/>
      </w:pPr>
      <w:r>
        <w:rPr>
          <w:b/>
        </w:rPr>
        <w:t xml:space="preserve">Hungría aprueba su plan de redes de gasoductos, </w:t>
      </w:r>
      <w:r w:rsidRPr="001F1A64">
        <w:t xml:space="preserve">los cuales son necesarios para eliminar </w:t>
      </w:r>
      <w:r>
        <w:t>el cuello de botella este-oeste</w:t>
      </w:r>
      <w:r w:rsidRPr="001F1A64">
        <w:t xml:space="preserve">, y con el objetivo de convertir a Hungría en un </w:t>
      </w:r>
      <w:proofErr w:type="spellStart"/>
      <w:r w:rsidRPr="0030053F">
        <w:rPr>
          <w:i/>
        </w:rPr>
        <w:t>hub</w:t>
      </w:r>
      <w:proofErr w:type="spellEnd"/>
      <w:r w:rsidRPr="001F1A64">
        <w:t xml:space="preserve"> regional</w:t>
      </w:r>
      <w:r>
        <w:t xml:space="preserve"> de tránsito, sobre todo a partir del funcionamiento de </w:t>
      </w:r>
      <w:proofErr w:type="spellStart"/>
      <w:r>
        <w:t>Nabucco</w:t>
      </w:r>
      <w:proofErr w:type="spellEnd"/>
      <w:r>
        <w:t>. (EUE 15.06)</w:t>
      </w:r>
    </w:p>
    <w:p w:rsidR="00185FCF" w:rsidRDefault="00185FCF" w:rsidP="004B3809">
      <w:pPr>
        <w:numPr>
          <w:ilvl w:val="0"/>
          <w:numId w:val="8"/>
        </w:numPr>
        <w:spacing w:before="100" w:beforeAutospacing="1" w:line="276" w:lineRule="auto"/>
        <w:ind w:left="284" w:hanging="284"/>
      </w:pPr>
      <w:r>
        <w:rPr>
          <w:b/>
        </w:rPr>
        <w:t xml:space="preserve">Según el regulador francés CRE, la unificación de las zonas de gas en Francia conducirá a precios más elevados: </w:t>
      </w:r>
      <w:r w:rsidRPr="004E3BF8">
        <w:t xml:space="preserve">Francia tiene tres zonas de gas (GRT PEG </w:t>
      </w:r>
      <w:proofErr w:type="spellStart"/>
      <w:r w:rsidRPr="004E3BF8">
        <w:t>nord</w:t>
      </w:r>
      <w:proofErr w:type="spellEnd"/>
      <w:r w:rsidRPr="004E3BF8">
        <w:t xml:space="preserve">, GRT PEG Sud y Total TIFG </w:t>
      </w:r>
      <w:proofErr w:type="spellStart"/>
      <w:r w:rsidRPr="004E3BF8">
        <w:t>Soudest</w:t>
      </w:r>
      <w:proofErr w:type="spellEnd"/>
      <w:r w:rsidRPr="004E3BF8">
        <w:t>) y debido a las congestiones quiere unificar la norte y la sur</w:t>
      </w:r>
      <w:r>
        <w:t>, lo cual p</w:t>
      </w:r>
      <w:r w:rsidRPr="004E3BF8">
        <w:t>rovocar</w:t>
      </w:r>
      <w:r>
        <w:t>ía</w:t>
      </w:r>
      <w:r w:rsidRPr="004E3BF8">
        <w:t xml:space="preserve"> una subida en los precios del 15%. (EUE 15.06)</w:t>
      </w:r>
    </w:p>
    <w:p w:rsidR="00185FCF" w:rsidRDefault="00185FCF" w:rsidP="004B3809">
      <w:pPr>
        <w:numPr>
          <w:ilvl w:val="0"/>
          <w:numId w:val="8"/>
        </w:numPr>
        <w:spacing w:before="100" w:beforeAutospacing="1" w:line="276" w:lineRule="auto"/>
        <w:ind w:left="284" w:hanging="284"/>
      </w:pPr>
      <w:r>
        <w:rPr>
          <w:b/>
        </w:rPr>
        <w:t xml:space="preserve">ENI se compromete a dejar disponibles 4bcm/año de capacidad de importación de gas a Italia hasta 2017 de los gasoductos de TAG, </w:t>
      </w:r>
      <w:proofErr w:type="spellStart"/>
      <w:r>
        <w:rPr>
          <w:b/>
        </w:rPr>
        <w:t>TRansitgas</w:t>
      </w:r>
      <w:proofErr w:type="spellEnd"/>
      <w:r>
        <w:rPr>
          <w:b/>
        </w:rPr>
        <w:t>/</w:t>
      </w:r>
      <w:proofErr w:type="spellStart"/>
      <w:r>
        <w:rPr>
          <w:b/>
        </w:rPr>
        <w:t>Tenp</w:t>
      </w:r>
      <w:proofErr w:type="spellEnd"/>
      <w:r>
        <w:rPr>
          <w:b/>
        </w:rPr>
        <w:t>.</w:t>
      </w:r>
      <w:r>
        <w:t xml:space="preserve"> Esta propuesta se deriva de las investigaciones iniciadas por el regulador en marzo contra ENI sobre abuso de posición de mercado. (EUE 29.06)</w:t>
      </w:r>
    </w:p>
    <w:p w:rsidR="00185FCF" w:rsidRDefault="00185FCF" w:rsidP="004B3809">
      <w:pPr>
        <w:numPr>
          <w:ilvl w:val="0"/>
          <w:numId w:val="8"/>
        </w:numPr>
        <w:spacing w:before="100" w:beforeAutospacing="1" w:line="276" w:lineRule="auto"/>
        <w:ind w:left="284" w:hanging="284"/>
      </w:pPr>
      <w:r>
        <w:rPr>
          <w:b/>
        </w:rPr>
        <w:t xml:space="preserve">Italia aprueba una ley para acelerar el proceso de los proyectos de infraestructuras energéticas, liberalizar el mercado de almacenamiento de gas y </w:t>
      </w:r>
      <w:proofErr w:type="spellStart"/>
      <w:r>
        <w:rPr>
          <w:b/>
        </w:rPr>
        <w:t>y</w:t>
      </w:r>
      <w:proofErr w:type="spellEnd"/>
      <w:r>
        <w:rPr>
          <w:b/>
        </w:rPr>
        <w:t xml:space="preserve"> establecer nuevas normas para la exploración y producción de hidrocarburos.</w:t>
      </w:r>
      <w:r>
        <w:t xml:space="preserve"> La ley también establece ciertas deducciones de impuestos para grandes co</w:t>
      </w:r>
      <w:r w:rsidR="00037398">
        <w:t>n</w:t>
      </w:r>
      <w:r>
        <w:t>sumidores de electricidad y deja al regulador la opción de establecer una nueva tarifa para esos usuarios. (EUE29.06)</w:t>
      </w:r>
    </w:p>
    <w:p w:rsidR="00185FCF" w:rsidRPr="00117C6A" w:rsidRDefault="00185FCF" w:rsidP="004B3809">
      <w:pPr>
        <w:numPr>
          <w:ilvl w:val="0"/>
          <w:numId w:val="8"/>
        </w:numPr>
        <w:spacing w:before="100" w:beforeAutospacing="1" w:line="276" w:lineRule="auto"/>
        <w:ind w:left="284" w:hanging="284"/>
      </w:pPr>
      <w:r>
        <w:rPr>
          <w:b/>
        </w:rPr>
        <w:t>El regulador portugués aumentará las tarifas reguladas de gas un 7%, antes de su desaparición definitiva en enero de 2013.</w:t>
      </w:r>
      <w:r>
        <w:t xml:space="preserve"> Esta subida afecta a los consumidores de 500</w:t>
      </w:r>
      <w:r w:rsidR="00037398">
        <w:t xml:space="preserve"> </w:t>
      </w:r>
      <w:r>
        <w:t>cum anual o menos. Para los consumidores que no hayan salido todavía a mercado existen unas tarifas transitorias las cuales aumentan progresivamente para incentivarles a salir a mercado. (EUE 29.06)</w:t>
      </w:r>
    </w:p>
    <w:p w:rsidR="00185FCF" w:rsidRPr="00B02C0A" w:rsidRDefault="00185FCF" w:rsidP="00094419">
      <w:pPr>
        <w:pStyle w:val="Ttulo3"/>
        <w:rPr>
          <w:lang w:val="es-ES_tradnl"/>
        </w:rPr>
      </w:pPr>
      <w:r w:rsidRPr="00A94056">
        <w:rPr>
          <w:lang w:val="es-ES_tradnl"/>
        </w:rPr>
        <w:t>Norteamérica – Renovables y Medio Ambiente</w:t>
      </w:r>
    </w:p>
    <w:p w:rsidR="00185FCF" w:rsidRPr="00094419" w:rsidRDefault="00185FCF" w:rsidP="004B3809">
      <w:pPr>
        <w:numPr>
          <w:ilvl w:val="0"/>
          <w:numId w:val="9"/>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rPr>
        <w:t xml:space="preserve">Según un </w:t>
      </w:r>
      <w:hyperlink r:id="rId13" w:history="1">
        <w:r w:rsidRPr="00094419">
          <w:rPr>
            <w:rStyle w:val="Hipervnculo"/>
            <w:rFonts w:asciiTheme="minorHAnsi" w:hAnsiTheme="minorHAnsi" w:cs="Arial"/>
            <w:b/>
            <w:szCs w:val="24"/>
          </w:rPr>
          <w:t>informe</w:t>
        </w:r>
      </w:hyperlink>
      <w:r w:rsidRPr="00094419">
        <w:rPr>
          <w:rFonts w:asciiTheme="minorHAnsi" w:hAnsiTheme="minorHAnsi" w:cs="Arial"/>
          <w:b/>
          <w:szCs w:val="24"/>
        </w:rPr>
        <w:t xml:space="preserve"> de la </w:t>
      </w:r>
      <w:hyperlink r:id="rId14" w:history="1">
        <w:r w:rsidRPr="00094419">
          <w:rPr>
            <w:rStyle w:val="Hipervnculo"/>
            <w:rFonts w:asciiTheme="minorHAnsi" w:hAnsiTheme="minorHAnsi" w:cs="Arial"/>
            <w:b/>
            <w:szCs w:val="24"/>
          </w:rPr>
          <w:t>EIA</w:t>
        </w:r>
      </w:hyperlink>
      <w:r w:rsidRPr="00094419">
        <w:rPr>
          <w:rFonts w:asciiTheme="minorHAnsi" w:hAnsiTheme="minorHAnsi" w:cs="Arial"/>
          <w:b/>
          <w:szCs w:val="24"/>
        </w:rPr>
        <w:t xml:space="preserve">, la utilización de los CES no tendría un gran impacto sobre los precios antes de 2020. </w:t>
      </w:r>
      <w:r w:rsidRPr="00094419">
        <w:rPr>
          <w:rFonts w:asciiTheme="minorHAnsi" w:hAnsiTheme="minorHAnsi" w:cs="Arial"/>
          <w:szCs w:val="24"/>
        </w:rPr>
        <w:t>A partir de esa fecha si aumentarían los precios debido a la necesidad de cumplimento con los CES, ya que sería necesario usar gas natural y biomasa en instalaciones existentes, además</w:t>
      </w:r>
      <w:r w:rsidR="00037398">
        <w:rPr>
          <w:rFonts w:asciiTheme="minorHAnsi" w:hAnsiTheme="minorHAnsi" w:cs="Arial"/>
          <w:szCs w:val="24"/>
        </w:rPr>
        <w:t>,</w:t>
      </w:r>
      <w:r w:rsidRPr="00094419">
        <w:rPr>
          <w:rFonts w:asciiTheme="minorHAnsi" w:hAnsiTheme="minorHAnsi" w:cs="Arial"/>
          <w:szCs w:val="24"/>
        </w:rPr>
        <w:t xml:space="preserve"> de nuevas inversiones en ciclos combinados, renovables y nuclear. (EPD 03.05)</w:t>
      </w:r>
      <w:r w:rsidR="00037398">
        <w:rPr>
          <w:rFonts w:asciiTheme="minorHAnsi" w:hAnsiTheme="minorHAnsi" w:cs="Arial"/>
          <w:szCs w:val="24"/>
        </w:rPr>
        <w:t xml:space="preserve"> y  </w:t>
      </w:r>
      <w:r w:rsidRPr="00094419">
        <w:rPr>
          <w:rFonts w:asciiTheme="minorHAnsi" w:hAnsiTheme="minorHAnsi" w:cs="Arial"/>
          <w:szCs w:val="24"/>
        </w:rPr>
        <w:t>(EUW 07.05)</w:t>
      </w:r>
    </w:p>
    <w:p w:rsidR="00185FCF" w:rsidRPr="00094419" w:rsidRDefault="00185FCF" w:rsidP="004B3809">
      <w:pPr>
        <w:numPr>
          <w:ilvl w:val="0"/>
          <w:numId w:val="9"/>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rPr>
        <w:t>Aumenta el número de REC</w:t>
      </w:r>
      <w:r w:rsidR="00A94056">
        <w:rPr>
          <w:rFonts w:asciiTheme="minorHAnsi" w:hAnsiTheme="minorHAnsi" w:cs="Arial"/>
          <w:b/>
          <w:szCs w:val="24"/>
        </w:rPr>
        <w:t xml:space="preserve"> (</w:t>
      </w:r>
      <w:proofErr w:type="spellStart"/>
      <w:r w:rsidR="00A94056">
        <w:rPr>
          <w:rFonts w:asciiTheme="minorHAnsi" w:hAnsiTheme="minorHAnsi" w:cs="Arial"/>
          <w:b/>
          <w:szCs w:val="24"/>
        </w:rPr>
        <w:t>Renewable</w:t>
      </w:r>
      <w:proofErr w:type="spellEnd"/>
      <w:r w:rsidR="00A94056">
        <w:rPr>
          <w:rFonts w:asciiTheme="minorHAnsi" w:hAnsiTheme="minorHAnsi" w:cs="Arial"/>
          <w:b/>
          <w:szCs w:val="24"/>
        </w:rPr>
        <w:t xml:space="preserve"> </w:t>
      </w:r>
      <w:proofErr w:type="spellStart"/>
      <w:r w:rsidR="00A94056">
        <w:rPr>
          <w:rFonts w:asciiTheme="minorHAnsi" w:hAnsiTheme="minorHAnsi" w:cs="Arial"/>
          <w:b/>
          <w:szCs w:val="24"/>
        </w:rPr>
        <w:t>Energy</w:t>
      </w:r>
      <w:proofErr w:type="spellEnd"/>
      <w:r w:rsidR="00A94056">
        <w:rPr>
          <w:rFonts w:asciiTheme="minorHAnsi" w:hAnsiTheme="minorHAnsi" w:cs="Arial"/>
          <w:b/>
          <w:szCs w:val="24"/>
        </w:rPr>
        <w:t xml:space="preserve"> </w:t>
      </w:r>
      <w:proofErr w:type="spellStart"/>
      <w:r w:rsidR="00A94056">
        <w:rPr>
          <w:rFonts w:asciiTheme="minorHAnsi" w:hAnsiTheme="minorHAnsi" w:cs="Arial"/>
          <w:b/>
          <w:szCs w:val="24"/>
        </w:rPr>
        <w:t>Credits</w:t>
      </w:r>
      <w:proofErr w:type="spellEnd"/>
      <w:r w:rsidR="00A94056">
        <w:rPr>
          <w:rFonts w:asciiTheme="minorHAnsi" w:hAnsiTheme="minorHAnsi" w:cs="Arial"/>
          <w:b/>
          <w:szCs w:val="24"/>
        </w:rPr>
        <w:t>)</w:t>
      </w:r>
      <w:r w:rsidRPr="00094419">
        <w:rPr>
          <w:rFonts w:asciiTheme="minorHAnsi" w:hAnsiTheme="minorHAnsi" w:cs="Arial"/>
          <w:b/>
          <w:szCs w:val="24"/>
        </w:rPr>
        <w:t xml:space="preserve"> comercializados en Texas, </w:t>
      </w:r>
      <w:r w:rsidRPr="00094419">
        <w:rPr>
          <w:rFonts w:asciiTheme="minorHAnsi" w:hAnsiTheme="minorHAnsi" w:cs="Arial"/>
          <w:szCs w:val="24"/>
        </w:rPr>
        <w:t>creciendo un 13% en 2011 comparado con 2010. La eólica supuso el 97% del total de 31,708 millones de REC creados en el año. La capacidad eólica creció de 10.515</w:t>
      </w:r>
      <w:r w:rsidR="00037398">
        <w:rPr>
          <w:rFonts w:asciiTheme="minorHAnsi" w:hAnsiTheme="minorHAnsi" w:cs="Arial"/>
          <w:szCs w:val="24"/>
        </w:rPr>
        <w:t xml:space="preserve"> </w:t>
      </w:r>
      <w:r w:rsidRPr="00094419">
        <w:rPr>
          <w:rFonts w:asciiTheme="minorHAnsi" w:hAnsiTheme="minorHAnsi" w:cs="Arial"/>
          <w:szCs w:val="24"/>
        </w:rPr>
        <w:t>MW a 11.586</w:t>
      </w:r>
      <w:r w:rsidR="00037398">
        <w:rPr>
          <w:rFonts w:asciiTheme="minorHAnsi" w:hAnsiTheme="minorHAnsi" w:cs="Arial"/>
          <w:szCs w:val="24"/>
        </w:rPr>
        <w:t xml:space="preserve"> </w:t>
      </w:r>
      <w:r w:rsidRPr="00094419">
        <w:rPr>
          <w:rFonts w:asciiTheme="minorHAnsi" w:hAnsiTheme="minorHAnsi" w:cs="Arial"/>
          <w:szCs w:val="24"/>
        </w:rPr>
        <w:t>MW entre 2010-2011. (EPD 17.05)</w:t>
      </w:r>
    </w:p>
    <w:p w:rsidR="00185FCF" w:rsidRPr="00B91AA6" w:rsidRDefault="00185FCF" w:rsidP="004B3809">
      <w:pPr>
        <w:numPr>
          <w:ilvl w:val="0"/>
          <w:numId w:val="9"/>
        </w:numPr>
        <w:spacing w:before="100" w:beforeAutospacing="1" w:line="276" w:lineRule="auto"/>
        <w:ind w:left="284" w:hanging="284"/>
        <w:rPr>
          <w:rFonts w:asciiTheme="minorHAnsi" w:hAnsiTheme="minorHAnsi" w:cs="Arial"/>
          <w:szCs w:val="24"/>
        </w:rPr>
      </w:pPr>
      <w:r w:rsidRPr="00B91AA6">
        <w:rPr>
          <w:rFonts w:asciiTheme="minorHAnsi" w:hAnsiTheme="minorHAnsi" w:cs="Arial"/>
          <w:b/>
          <w:szCs w:val="24"/>
        </w:rPr>
        <w:t xml:space="preserve">El programa de FIT de California, tendrá un nuevo mecanismo de precios, </w:t>
      </w:r>
      <w:r w:rsidRPr="00B91AA6">
        <w:rPr>
          <w:rFonts w:asciiTheme="minorHAnsi" w:hAnsiTheme="minorHAnsi" w:cs="Arial"/>
          <w:szCs w:val="24"/>
        </w:rPr>
        <w:t>por el cual los propietarios de proyectos de renovables de generación distribuida recibirán precios basados en el mercado. Además</w:t>
      </w:r>
      <w:r w:rsidR="00037398" w:rsidRPr="00B91AA6">
        <w:rPr>
          <w:rFonts w:asciiTheme="minorHAnsi" w:hAnsiTheme="minorHAnsi" w:cs="Arial"/>
          <w:szCs w:val="24"/>
        </w:rPr>
        <w:t>,</w:t>
      </w:r>
      <w:r w:rsidRPr="00B91AA6">
        <w:rPr>
          <w:rFonts w:asciiTheme="minorHAnsi" w:hAnsiTheme="minorHAnsi" w:cs="Arial"/>
          <w:szCs w:val="24"/>
        </w:rPr>
        <w:t xml:space="preserve"> la capacidad máxima para ser elegible se amplía a 3</w:t>
      </w:r>
      <w:r w:rsidR="00037398" w:rsidRPr="00B91AA6">
        <w:rPr>
          <w:rFonts w:asciiTheme="minorHAnsi" w:hAnsiTheme="minorHAnsi" w:cs="Arial"/>
          <w:szCs w:val="24"/>
        </w:rPr>
        <w:t xml:space="preserve"> </w:t>
      </w:r>
      <w:r w:rsidRPr="00B91AA6">
        <w:rPr>
          <w:rFonts w:asciiTheme="minorHAnsi" w:hAnsiTheme="minorHAnsi" w:cs="Arial"/>
          <w:szCs w:val="24"/>
        </w:rPr>
        <w:t>MW. (EPD 25.05)</w:t>
      </w:r>
    </w:p>
    <w:p w:rsidR="00185FCF" w:rsidRPr="00094419" w:rsidRDefault="00185FCF" w:rsidP="004B3809">
      <w:pPr>
        <w:numPr>
          <w:ilvl w:val="0"/>
          <w:numId w:val="9"/>
        </w:numPr>
        <w:spacing w:before="100" w:beforeAutospacing="1" w:line="276" w:lineRule="auto"/>
        <w:ind w:left="284" w:hanging="284"/>
        <w:rPr>
          <w:rFonts w:asciiTheme="minorHAnsi" w:hAnsiTheme="minorHAnsi" w:cs="Arial"/>
          <w:b/>
          <w:szCs w:val="24"/>
        </w:rPr>
      </w:pPr>
      <w:r w:rsidRPr="00094419">
        <w:rPr>
          <w:rFonts w:asciiTheme="minorHAnsi" w:hAnsiTheme="minorHAnsi" w:cs="Arial"/>
          <w:b/>
          <w:szCs w:val="24"/>
        </w:rPr>
        <w:t xml:space="preserve">California aprueba la Ley sobre ingresos derivados del </w:t>
      </w:r>
      <w:proofErr w:type="spellStart"/>
      <w:r w:rsidRPr="00094419">
        <w:rPr>
          <w:rFonts w:asciiTheme="minorHAnsi" w:hAnsiTheme="minorHAnsi" w:cs="Arial"/>
          <w:b/>
          <w:i/>
          <w:szCs w:val="24"/>
        </w:rPr>
        <w:t>cap</w:t>
      </w:r>
      <w:proofErr w:type="spellEnd"/>
      <w:r w:rsidRPr="00094419">
        <w:rPr>
          <w:rFonts w:asciiTheme="minorHAnsi" w:hAnsiTheme="minorHAnsi" w:cs="Arial"/>
          <w:b/>
          <w:i/>
          <w:szCs w:val="24"/>
        </w:rPr>
        <w:t>-and-</w:t>
      </w:r>
      <w:proofErr w:type="spellStart"/>
      <w:r w:rsidRPr="00094419">
        <w:rPr>
          <w:rFonts w:asciiTheme="minorHAnsi" w:hAnsiTheme="minorHAnsi" w:cs="Arial"/>
          <w:b/>
          <w:i/>
          <w:szCs w:val="24"/>
        </w:rPr>
        <w:t>trade</w:t>
      </w:r>
      <w:proofErr w:type="spellEnd"/>
      <w:r w:rsidRPr="00094419">
        <w:rPr>
          <w:rFonts w:asciiTheme="minorHAnsi" w:hAnsiTheme="minorHAnsi" w:cs="Arial"/>
          <w:b/>
          <w:szCs w:val="24"/>
        </w:rPr>
        <w:t xml:space="preserve">: </w:t>
      </w:r>
      <w:r w:rsidRPr="00094419">
        <w:rPr>
          <w:rFonts w:asciiTheme="minorHAnsi" w:hAnsiTheme="minorHAnsi" w:cs="Arial"/>
          <w:szCs w:val="24"/>
        </w:rPr>
        <w:t xml:space="preserve">esta ley elimina las barreras en el estado para recaudar más de 1.000 millones de USD al año en ingresos por la venta de derechos de emisión en el mercado </w:t>
      </w:r>
      <w:proofErr w:type="spellStart"/>
      <w:r w:rsidRPr="00094419">
        <w:rPr>
          <w:rFonts w:asciiTheme="minorHAnsi" w:hAnsiTheme="minorHAnsi" w:cs="Arial"/>
          <w:i/>
          <w:szCs w:val="24"/>
        </w:rPr>
        <w:t>cap</w:t>
      </w:r>
      <w:proofErr w:type="spellEnd"/>
      <w:r w:rsidRPr="00094419">
        <w:rPr>
          <w:rFonts w:asciiTheme="minorHAnsi" w:hAnsiTheme="minorHAnsi" w:cs="Arial"/>
          <w:i/>
          <w:szCs w:val="24"/>
        </w:rPr>
        <w:t xml:space="preserve"> and </w:t>
      </w:r>
      <w:proofErr w:type="spellStart"/>
      <w:r w:rsidRPr="00094419">
        <w:rPr>
          <w:rFonts w:asciiTheme="minorHAnsi" w:hAnsiTheme="minorHAnsi" w:cs="Arial"/>
          <w:i/>
          <w:szCs w:val="24"/>
        </w:rPr>
        <w:t>trade</w:t>
      </w:r>
      <w:proofErr w:type="spellEnd"/>
      <w:r w:rsidRPr="00094419">
        <w:rPr>
          <w:rFonts w:asciiTheme="minorHAnsi" w:hAnsiTheme="minorHAnsi" w:cs="Arial"/>
          <w:szCs w:val="24"/>
        </w:rPr>
        <w:t>, que está previsto que comience a funcionar el próximo año</w:t>
      </w:r>
      <w:r w:rsidR="00037398">
        <w:rPr>
          <w:rFonts w:asciiTheme="minorHAnsi" w:hAnsiTheme="minorHAnsi" w:cs="Arial"/>
          <w:szCs w:val="24"/>
        </w:rPr>
        <w:t>.</w:t>
      </w:r>
      <w:r w:rsidRPr="00094419">
        <w:rPr>
          <w:rFonts w:asciiTheme="minorHAnsi" w:hAnsiTheme="minorHAnsi" w:cs="Arial"/>
          <w:szCs w:val="24"/>
        </w:rPr>
        <w:t xml:space="preserve"> (AIE </w:t>
      </w:r>
      <w:proofErr w:type="spellStart"/>
      <w:r w:rsidRPr="00094419">
        <w:rPr>
          <w:rFonts w:asciiTheme="minorHAnsi" w:hAnsiTheme="minorHAnsi" w:cs="Arial"/>
          <w:szCs w:val="24"/>
        </w:rPr>
        <w:t>news</w:t>
      </w:r>
      <w:proofErr w:type="spellEnd"/>
      <w:r w:rsidRPr="00094419">
        <w:rPr>
          <w:rFonts w:asciiTheme="minorHAnsi" w:hAnsiTheme="minorHAnsi" w:cs="Arial"/>
          <w:szCs w:val="24"/>
        </w:rPr>
        <w:t xml:space="preserve"> 01.06)</w:t>
      </w:r>
    </w:p>
    <w:p w:rsidR="00185FCF" w:rsidRPr="00094419" w:rsidRDefault="00185FCF" w:rsidP="004B3809">
      <w:pPr>
        <w:numPr>
          <w:ilvl w:val="0"/>
          <w:numId w:val="9"/>
        </w:numPr>
        <w:spacing w:before="100" w:beforeAutospacing="1" w:line="276" w:lineRule="auto"/>
        <w:ind w:left="284" w:hanging="284"/>
        <w:rPr>
          <w:rFonts w:asciiTheme="minorHAnsi" w:hAnsiTheme="minorHAnsi" w:cs="Arial"/>
          <w:b/>
          <w:szCs w:val="24"/>
        </w:rPr>
      </w:pPr>
      <w:r w:rsidRPr="00094419">
        <w:rPr>
          <w:rFonts w:asciiTheme="minorHAnsi" w:hAnsiTheme="minorHAnsi" w:cs="Arial"/>
          <w:b/>
          <w:szCs w:val="24"/>
        </w:rPr>
        <w:lastRenderedPageBreak/>
        <w:t>El Gobierno chino acusa al estadounidense de proteccionismo después de que se hayan aprobado tarifas de importación punitivas a los paneles y células solares chinos</w:t>
      </w:r>
      <w:r w:rsidRPr="00094419">
        <w:rPr>
          <w:rFonts w:asciiTheme="minorHAnsi" w:hAnsiTheme="minorHAnsi" w:cs="Arial"/>
          <w:szCs w:val="24"/>
        </w:rPr>
        <w:t>. Estas tarifas oscilan entre 31% y 250% y ahora China está mirando la posibilidad de fabricar directamente en los EE</w:t>
      </w:r>
      <w:r w:rsidR="00037398">
        <w:rPr>
          <w:rFonts w:asciiTheme="minorHAnsi" w:hAnsiTheme="minorHAnsi" w:cs="Arial"/>
          <w:szCs w:val="24"/>
        </w:rPr>
        <w:t>.</w:t>
      </w:r>
      <w:r w:rsidRPr="00094419">
        <w:rPr>
          <w:rFonts w:asciiTheme="minorHAnsi" w:hAnsiTheme="minorHAnsi" w:cs="Arial"/>
          <w:szCs w:val="24"/>
        </w:rPr>
        <w:t xml:space="preserve">UU. (REM </w:t>
      </w:r>
      <w:proofErr w:type="spellStart"/>
      <w:r w:rsidRPr="00094419">
        <w:rPr>
          <w:rFonts w:asciiTheme="minorHAnsi" w:hAnsiTheme="minorHAnsi" w:cs="Arial"/>
          <w:szCs w:val="24"/>
        </w:rPr>
        <w:t>week</w:t>
      </w:r>
      <w:proofErr w:type="spellEnd"/>
      <w:r w:rsidRPr="00094419">
        <w:rPr>
          <w:rFonts w:asciiTheme="minorHAnsi" w:hAnsiTheme="minorHAnsi" w:cs="Arial"/>
          <w:szCs w:val="24"/>
        </w:rPr>
        <w:t xml:space="preserve"> 21). Mientras el Departamento de Comercio de los EE</w:t>
      </w:r>
      <w:r w:rsidR="00037398">
        <w:rPr>
          <w:rFonts w:asciiTheme="minorHAnsi" w:hAnsiTheme="minorHAnsi" w:cs="Arial"/>
          <w:szCs w:val="24"/>
        </w:rPr>
        <w:t>.</w:t>
      </w:r>
      <w:r w:rsidRPr="00094419">
        <w:rPr>
          <w:rFonts w:asciiTheme="minorHAnsi" w:hAnsiTheme="minorHAnsi" w:cs="Arial"/>
          <w:szCs w:val="24"/>
        </w:rPr>
        <w:t>UU</w:t>
      </w:r>
      <w:r w:rsidR="00037398">
        <w:rPr>
          <w:rFonts w:asciiTheme="minorHAnsi" w:hAnsiTheme="minorHAnsi" w:cs="Arial"/>
          <w:szCs w:val="24"/>
        </w:rPr>
        <w:t>.</w:t>
      </w:r>
      <w:r w:rsidRPr="00094419">
        <w:rPr>
          <w:rFonts w:asciiTheme="minorHAnsi" w:hAnsiTheme="minorHAnsi" w:cs="Arial"/>
          <w:szCs w:val="24"/>
        </w:rPr>
        <w:t xml:space="preserve"> </w:t>
      </w:r>
      <w:r w:rsidRPr="00094419">
        <w:rPr>
          <w:rFonts w:asciiTheme="minorHAnsi" w:hAnsiTheme="minorHAnsi" w:cs="Arial"/>
          <w:b/>
          <w:szCs w:val="24"/>
        </w:rPr>
        <w:t>ha aumentado las tasas a la importación de torres eólicas provenientes de China</w:t>
      </w:r>
      <w:r w:rsidRPr="00094419">
        <w:rPr>
          <w:rFonts w:asciiTheme="minorHAnsi" w:hAnsiTheme="minorHAnsi" w:cs="Arial"/>
          <w:szCs w:val="24"/>
        </w:rPr>
        <w:t xml:space="preserve"> pasando del 13,74% al 26%. (REM </w:t>
      </w:r>
      <w:proofErr w:type="spellStart"/>
      <w:r w:rsidRPr="00094419">
        <w:rPr>
          <w:rFonts w:asciiTheme="minorHAnsi" w:hAnsiTheme="minorHAnsi" w:cs="Arial"/>
          <w:szCs w:val="24"/>
        </w:rPr>
        <w:t>week</w:t>
      </w:r>
      <w:proofErr w:type="spellEnd"/>
      <w:r w:rsidRPr="00094419">
        <w:rPr>
          <w:rFonts w:asciiTheme="minorHAnsi" w:hAnsiTheme="minorHAnsi" w:cs="Arial"/>
          <w:szCs w:val="24"/>
        </w:rPr>
        <w:t xml:space="preserve"> 22).</w:t>
      </w:r>
    </w:p>
    <w:p w:rsidR="00185FCF" w:rsidRPr="00094419" w:rsidRDefault="00185FCF" w:rsidP="004B3809">
      <w:pPr>
        <w:numPr>
          <w:ilvl w:val="0"/>
          <w:numId w:val="9"/>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rPr>
        <w:t xml:space="preserve">PJM revisa los “costes de oportunidad perdida” de la eólica, </w:t>
      </w:r>
      <w:r w:rsidRPr="00094419">
        <w:rPr>
          <w:rFonts w:asciiTheme="minorHAnsi" w:hAnsiTheme="minorHAnsi" w:cs="Arial"/>
          <w:szCs w:val="24"/>
        </w:rPr>
        <w:t>de modo que estos recibirán a partir del 1 de junio la misma compensación que la generación convencional en periodos en los que deben reducir su producción para asegurar la estabilidad de la red. Hasta ahora eran tratados de modo diferente y solo se les compensaba cuando eran despachados en el mercado diario. (EPD 04.06)</w:t>
      </w:r>
    </w:p>
    <w:p w:rsidR="00185FCF" w:rsidRPr="00094419" w:rsidRDefault="00185FCF" w:rsidP="004B3809">
      <w:pPr>
        <w:numPr>
          <w:ilvl w:val="0"/>
          <w:numId w:val="9"/>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rPr>
        <w:t xml:space="preserve">Un </w:t>
      </w:r>
      <w:hyperlink r:id="rId15" w:history="1">
        <w:r w:rsidRPr="00094419">
          <w:rPr>
            <w:rStyle w:val="Hipervnculo"/>
            <w:rFonts w:asciiTheme="minorHAnsi" w:hAnsiTheme="minorHAnsi" w:cs="Arial"/>
            <w:b/>
            <w:szCs w:val="24"/>
          </w:rPr>
          <w:t>estudio</w:t>
        </w:r>
      </w:hyperlink>
      <w:r w:rsidRPr="00094419">
        <w:rPr>
          <w:rFonts w:asciiTheme="minorHAnsi" w:hAnsiTheme="minorHAnsi" w:cs="Arial"/>
          <w:b/>
          <w:szCs w:val="24"/>
        </w:rPr>
        <w:t xml:space="preserve"> de NREL (</w:t>
      </w:r>
      <w:proofErr w:type="spellStart"/>
      <w:r w:rsidRPr="00094419">
        <w:rPr>
          <w:rFonts w:asciiTheme="minorHAnsi" w:hAnsiTheme="minorHAnsi" w:cs="Arial"/>
          <w:b/>
          <w:i/>
          <w:szCs w:val="24"/>
        </w:rPr>
        <w:t>National</w:t>
      </w:r>
      <w:proofErr w:type="spellEnd"/>
      <w:r w:rsidRPr="00094419">
        <w:rPr>
          <w:rFonts w:asciiTheme="minorHAnsi" w:hAnsiTheme="minorHAnsi" w:cs="Arial"/>
          <w:b/>
          <w:i/>
          <w:szCs w:val="24"/>
        </w:rPr>
        <w:t xml:space="preserve"> </w:t>
      </w:r>
      <w:proofErr w:type="spellStart"/>
      <w:r w:rsidRPr="00094419">
        <w:rPr>
          <w:rFonts w:asciiTheme="minorHAnsi" w:hAnsiTheme="minorHAnsi" w:cs="Arial"/>
          <w:b/>
          <w:i/>
          <w:szCs w:val="24"/>
        </w:rPr>
        <w:t>Renewable</w:t>
      </w:r>
      <w:proofErr w:type="spellEnd"/>
      <w:r w:rsidRPr="00094419">
        <w:rPr>
          <w:rFonts w:asciiTheme="minorHAnsi" w:hAnsiTheme="minorHAnsi" w:cs="Arial"/>
          <w:b/>
          <w:i/>
          <w:szCs w:val="24"/>
        </w:rPr>
        <w:t xml:space="preserve"> </w:t>
      </w:r>
      <w:proofErr w:type="spellStart"/>
      <w:r w:rsidRPr="00094419">
        <w:rPr>
          <w:rFonts w:asciiTheme="minorHAnsi" w:hAnsiTheme="minorHAnsi" w:cs="Arial"/>
          <w:b/>
          <w:i/>
          <w:szCs w:val="24"/>
        </w:rPr>
        <w:t>Energy</w:t>
      </w:r>
      <w:proofErr w:type="spellEnd"/>
      <w:r w:rsidRPr="00094419">
        <w:rPr>
          <w:rFonts w:asciiTheme="minorHAnsi" w:hAnsiTheme="minorHAnsi" w:cs="Arial"/>
          <w:b/>
          <w:i/>
          <w:szCs w:val="24"/>
        </w:rPr>
        <w:t xml:space="preserve"> </w:t>
      </w:r>
      <w:proofErr w:type="spellStart"/>
      <w:r w:rsidRPr="00094419">
        <w:rPr>
          <w:rFonts w:asciiTheme="minorHAnsi" w:hAnsiTheme="minorHAnsi" w:cs="Arial"/>
          <w:b/>
          <w:i/>
          <w:szCs w:val="24"/>
        </w:rPr>
        <w:t>Laboratory</w:t>
      </w:r>
      <w:proofErr w:type="spellEnd"/>
      <w:r w:rsidRPr="00094419">
        <w:rPr>
          <w:rFonts w:asciiTheme="minorHAnsi" w:hAnsiTheme="minorHAnsi" w:cs="Arial"/>
          <w:b/>
          <w:szCs w:val="24"/>
        </w:rPr>
        <w:t>) afirma que EEUU podrá conseguir en 2050 un 80% de su generación con renovables.</w:t>
      </w:r>
      <w:r w:rsidRPr="00094419">
        <w:rPr>
          <w:rFonts w:asciiTheme="minorHAnsi" w:hAnsiTheme="minorHAnsi" w:cs="Arial"/>
          <w:szCs w:val="24"/>
        </w:rPr>
        <w:t xml:space="preserve"> Entre los principales cambios se necesita una mayor flexibilidad en la red con tecnologías de respuesta a la demanda o almacenamiento, así como modificar la forma de actuar del sector energético (EPD 15.06)</w:t>
      </w:r>
      <w:r w:rsidR="002E3DEC">
        <w:rPr>
          <w:rFonts w:asciiTheme="minorHAnsi" w:hAnsiTheme="minorHAnsi" w:cs="Arial"/>
          <w:szCs w:val="24"/>
        </w:rPr>
        <w:t xml:space="preserve"> y </w:t>
      </w:r>
      <w:r w:rsidRPr="00094419">
        <w:rPr>
          <w:rFonts w:asciiTheme="minorHAnsi" w:hAnsiTheme="minorHAnsi" w:cs="Arial"/>
          <w:szCs w:val="24"/>
        </w:rPr>
        <w:t>(EPD 19.06)</w:t>
      </w:r>
    </w:p>
    <w:p w:rsidR="00185FCF" w:rsidRPr="00094419" w:rsidRDefault="00185FCF" w:rsidP="004B3809">
      <w:pPr>
        <w:numPr>
          <w:ilvl w:val="0"/>
          <w:numId w:val="9"/>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rPr>
        <w:t xml:space="preserve">En California se publicará un estudio en julio que afirma que el estado puede alcanzar un RPS del 50% en vez del 33% para 2050. </w:t>
      </w:r>
      <w:r w:rsidRPr="00094419">
        <w:rPr>
          <w:rFonts w:asciiTheme="minorHAnsi" w:hAnsiTheme="minorHAnsi" w:cs="Arial"/>
          <w:szCs w:val="24"/>
        </w:rPr>
        <w:t>El informe examina cuatro escenarios y las perspectivas y barreras de cada uno para alcanzar un mayor RPS. También</w:t>
      </w:r>
      <w:r w:rsidR="002E3DEC">
        <w:rPr>
          <w:rFonts w:asciiTheme="minorHAnsi" w:hAnsiTheme="minorHAnsi" w:cs="Arial"/>
          <w:szCs w:val="24"/>
        </w:rPr>
        <w:t>,</w:t>
      </w:r>
      <w:r w:rsidRPr="00094419">
        <w:rPr>
          <w:rFonts w:asciiTheme="minorHAnsi" w:hAnsiTheme="minorHAnsi" w:cs="Arial"/>
          <w:szCs w:val="24"/>
        </w:rPr>
        <w:t xml:space="preserve"> afirma que un mayor volumen de renovables no debe ser necesariamente prohibitivo en costes. (EPD 18.06)</w:t>
      </w:r>
    </w:p>
    <w:p w:rsidR="00185FCF" w:rsidRPr="00094419" w:rsidRDefault="00185FCF" w:rsidP="004B3809">
      <w:pPr>
        <w:numPr>
          <w:ilvl w:val="0"/>
          <w:numId w:val="9"/>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rPr>
        <w:t xml:space="preserve">FERC aprueba la norma final sobre los recursos energéticos variables (VER), </w:t>
      </w:r>
      <w:r w:rsidRPr="00094419">
        <w:rPr>
          <w:rFonts w:asciiTheme="minorHAnsi" w:hAnsiTheme="minorHAnsi" w:cs="Arial"/>
          <w:szCs w:val="24"/>
        </w:rPr>
        <w:t>por el cual  la eólica, solar y otras energías que viertan a la red estarán sujetas a una programación de 15 minutos. La norma también requiere que las VER proporcionen datos meteorológicos o de interrupciones a los transportistas para que estos puedan mejorar sus previsiones. (EPD 22.06)</w:t>
      </w:r>
    </w:p>
    <w:p w:rsidR="00185FCF" w:rsidRPr="00A42BB5" w:rsidRDefault="00185FCF" w:rsidP="00094419">
      <w:pPr>
        <w:pStyle w:val="Ttulo3"/>
        <w:rPr>
          <w:lang w:val="es-ES_tradnl"/>
        </w:rPr>
      </w:pPr>
      <w:r w:rsidRPr="00A42BB5">
        <w:rPr>
          <w:lang w:val="es-ES_tradnl"/>
        </w:rPr>
        <w:t>Norteamérica – Regulación y legislación</w:t>
      </w:r>
    </w:p>
    <w:p w:rsidR="00185FCF" w:rsidRPr="002D1D14" w:rsidRDefault="00185FCF" w:rsidP="004B3809">
      <w:pPr>
        <w:numPr>
          <w:ilvl w:val="0"/>
          <w:numId w:val="10"/>
        </w:numPr>
        <w:spacing w:before="100" w:beforeAutospacing="1" w:line="276" w:lineRule="auto"/>
        <w:ind w:left="284" w:hanging="284"/>
        <w:rPr>
          <w:rFonts w:cs="Arial"/>
          <w:szCs w:val="24"/>
        </w:rPr>
      </w:pPr>
      <w:r>
        <w:rPr>
          <w:rFonts w:cs="Arial"/>
          <w:b/>
          <w:szCs w:val="24"/>
        </w:rPr>
        <w:t>New Jersey aprueba una ley que permite a los municipios unirse para realizar compras mayoristas de electricidad y construir su propia generación:</w:t>
      </w:r>
      <w:r w:rsidRPr="00261B0E">
        <w:rPr>
          <w:rFonts w:cs="Arial"/>
          <w:szCs w:val="24"/>
        </w:rPr>
        <w:t xml:space="preserve"> de esta manera</w:t>
      </w:r>
      <w:r>
        <w:rPr>
          <w:rFonts w:cs="Arial"/>
          <w:szCs w:val="24"/>
        </w:rPr>
        <w:t xml:space="preserve"> aumentarán su poder de </w:t>
      </w:r>
      <w:r w:rsidRPr="00261B0E">
        <w:rPr>
          <w:rFonts w:cs="Arial"/>
          <w:szCs w:val="24"/>
        </w:rPr>
        <w:t>negocia</w:t>
      </w:r>
      <w:r>
        <w:rPr>
          <w:rFonts w:cs="Arial"/>
          <w:szCs w:val="24"/>
        </w:rPr>
        <w:t>ción y</w:t>
      </w:r>
      <w:r w:rsidRPr="00261B0E">
        <w:rPr>
          <w:rFonts w:cs="Arial"/>
          <w:szCs w:val="24"/>
        </w:rPr>
        <w:t xml:space="preserve"> </w:t>
      </w:r>
      <w:r w:rsidRPr="00E80434">
        <w:rPr>
          <w:rFonts w:cs="Arial"/>
          <w:szCs w:val="24"/>
        </w:rPr>
        <w:t>podrán obtener mejores precios de la energía y reducir costes. (EPD 11.05)</w:t>
      </w:r>
    </w:p>
    <w:p w:rsidR="00185FCF" w:rsidRDefault="00185FCF" w:rsidP="004B3809">
      <w:pPr>
        <w:numPr>
          <w:ilvl w:val="0"/>
          <w:numId w:val="10"/>
        </w:numPr>
        <w:spacing w:before="100" w:beforeAutospacing="1" w:line="276" w:lineRule="auto"/>
        <w:ind w:left="284" w:hanging="284"/>
        <w:rPr>
          <w:rFonts w:cs="Arial"/>
          <w:szCs w:val="24"/>
        </w:rPr>
      </w:pPr>
      <w:r>
        <w:rPr>
          <w:rFonts w:cs="Arial"/>
          <w:b/>
          <w:szCs w:val="24"/>
        </w:rPr>
        <w:t xml:space="preserve">NERC creará un comité de asuntos de fiabilidad, </w:t>
      </w:r>
      <w:r w:rsidRPr="0083713F">
        <w:rPr>
          <w:rFonts w:cs="Arial"/>
          <w:szCs w:val="24"/>
        </w:rPr>
        <w:t>el cual analizará asuntos potenciales de fiabilidad asegurándose de que se desarrollan los estándares adecuados de la manera más rápida y fiable. Con este comité NERC quiere evitar que se produzcan cortes en el suministro, tal y como paso en mayo ente Arizona y California. (EPD 11.05)</w:t>
      </w:r>
    </w:p>
    <w:p w:rsidR="00185FCF" w:rsidRDefault="00185FCF" w:rsidP="004B3809">
      <w:pPr>
        <w:numPr>
          <w:ilvl w:val="0"/>
          <w:numId w:val="10"/>
        </w:numPr>
        <w:spacing w:before="100" w:beforeAutospacing="1" w:line="276" w:lineRule="auto"/>
        <w:ind w:left="284" w:hanging="284"/>
        <w:rPr>
          <w:rFonts w:cs="Arial"/>
          <w:szCs w:val="24"/>
        </w:rPr>
      </w:pPr>
      <w:r>
        <w:rPr>
          <w:rFonts w:cs="Arial"/>
          <w:b/>
          <w:szCs w:val="24"/>
        </w:rPr>
        <w:t xml:space="preserve">Varias empresas llevan a los tribunales la FERC </w:t>
      </w:r>
      <w:proofErr w:type="spellStart"/>
      <w:r>
        <w:rPr>
          <w:rFonts w:cs="Arial"/>
          <w:b/>
          <w:szCs w:val="24"/>
        </w:rPr>
        <w:t>Order</w:t>
      </w:r>
      <w:proofErr w:type="spellEnd"/>
      <w:r>
        <w:rPr>
          <w:rFonts w:cs="Arial"/>
          <w:b/>
          <w:szCs w:val="24"/>
        </w:rPr>
        <w:t xml:space="preserve"> 1000, </w:t>
      </w:r>
      <w:r w:rsidRPr="004A18C4">
        <w:rPr>
          <w:rFonts w:cs="Arial"/>
          <w:szCs w:val="24"/>
        </w:rPr>
        <w:t xml:space="preserve">al considerar que la FERC no tiene la autoridad para reclamar los costes de proyectos de redes a entidades que no son clientes directos o que no tengan relación contractual con la misma. (EUW 04.06). </w:t>
      </w:r>
    </w:p>
    <w:p w:rsidR="00185FCF" w:rsidRPr="00E80434" w:rsidRDefault="00185FCF" w:rsidP="004B3809">
      <w:pPr>
        <w:numPr>
          <w:ilvl w:val="0"/>
          <w:numId w:val="10"/>
        </w:numPr>
        <w:spacing w:before="100" w:beforeAutospacing="1" w:line="276" w:lineRule="auto"/>
        <w:ind w:left="284" w:hanging="284"/>
        <w:rPr>
          <w:rFonts w:cs="Arial"/>
          <w:szCs w:val="24"/>
        </w:rPr>
      </w:pPr>
      <w:r w:rsidRPr="00E80434">
        <w:rPr>
          <w:rFonts w:cs="Arial"/>
          <w:b/>
          <w:szCs w:val="24"/>
        </w:rPr>
        <w:t xml:space="preserve">California trabaja en la integración del almacenamiento energético, </w:t>
      </w:r>
      <w:r w:rsidRPr="00E80434">
        <w:rPr>
          <w:rFonts w:cs="Arial"/>
          <w:szCs w:val="24"/>
        </w:rPr>
        <w:t>de modo que se impulse su potencial en el estado y se eliminen las barreras a su desarrollo. La</w:t>
      </w:r>
      <w:r>
        <w:rPr>
          <w:rFonts w:cs="Arial"/>
          <w:szCs w:val="24"/>
        </w:rPr>
        <w:t xml:space="preserve"> PUC ya publico una propuesta “</w:t>
      </w:r>
      <w:proofErr w:type="spellStart"/>
      <w:r w:rsidRPr="001C757D">
        <w:rPr>
          <w:rFonts w:cs="Arial"/>
          <w:i/>
          <w:szCs w:val="24"/>
        </w:rPr>
        <w:t>Energy</w:t>
      </w:r>
      <w:proofErr w:type="spellEnd"/>
      <w:r w:rsidRPr="001C757D">
        <w:rPr>
          <w:rFonts w:cs="Arial"/>
          <w:i/>
          <w:szCs w:val="24"/>
        </w:rPr>
        <w:t xml:space="preserve"> Storage Framework</w:t>
      </w:r>
      <w:r w:rsidRPr="00E80434">
        <w:rPr>
          <w:rFonts w:cs="Arial"/>
          <w:szCs w:val="24"/>
        </w:rPr>
        <w:t>” en diciembre y se adoptarán los primero objetivos para octubre 2013. Además la PUC ha identificado las barreras que dificultan su implementación. (EPD 11.06)</w:t>
      </w:r>
    </w:p>
    <w:p w:rsidR="00185FCF" w:rsidRPr="00F22336" w:rsidRDefault="00185FCF" w:rsidP="00094419">
      <w:pPr>
        <w:pStyle w:val="Ttulo3"/>
      </w:pPr>
      <w:r w:rsidRPr="00F22336">
        <w:lastRenderedPageBreak/>
        <w:t>Norteamérica – Tarifas, precios y protección al consumidor</w:t>
      </w:r>
    </w:p>
    <w:p w:rsidR="00185FCF" w:rsidRPr="00094419" w:rsidRDefault="00185FCF" w:rsidP="004B3809">
      <w:pPr>
        <w:numPr>
          <w:ilvl w:val="0"/>
          <w:numId w:val="11"/>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lang w:val="es-ES_tradnl"/>
        </w:rPr>
        <w:t xml:space="preserve">Una herramienta online del departamento de energía estadounidense ayuda a los consumidores a reducir sus facturas: </w:t>
      </w:r>
      <w:r w:rsidRPr="00094419">
        <w:rPr>
          <w:rFonts w:asciiTheme="minorHAnsi" w:hAnsiTheme="minorHAnsi" w:cs="Arial"/>
          <w:szCs w:val="24"/>
          <w:lang w:val="es-ES_tradnl"/>
        </w:rPr>
        <w:t>el departamento de energía ha lanzado el “</w:t>
      </w:r>
      <w:proofErr w:type="spellStart"/>
      <w:r w:rsidRPr="00094419">
        <w:rPr>
          <w:rFonts w:asciiTheme="minorHAnsi" w:hAnsiTheme="minorHAnsi" w:cs="Arial"/>
          <w:i/>
          <w:szCs w:val="24"/>
          <w:lang w:val="es-ES_tradnl"/>
        </w:rPr>
        <w:t>Utility</w:t>
      </w:r>
      <w:proofErr w:type="spellEnd"/>
      <w:r w:rsidRPr="00094419">
        <w:rPr>
          <w:rFonts w:asciiTheme="minorHAnsi" w:hAnsiTheme="minorHAnsi" w:cs="Arial"/>
          <w:i/>
          <w:szCs w:val="24"/>
          <w:lang w:val="es-ES_tradnl"/>
        </w:rPr>
        <w:t xml:space="preserve"> Data Access </w:t>
      </w:r>
      <w:proofErr w:type="spellStart"/>
      <w:r w:rsidRPr="00094419">
        <w:rPr>
          <w:rFonts w:asciiTheme="minorHAnsi" w:hAnsiTheme="minorHAnsi" w:cs="Arial"/>
          <w:i/>
          <w:szCs w:val="24"/>
          <w:lang w:val="es-ES_tradnl"/>
        </w:rPr>
        <w:t>Map</w:t>
      </w:r>
      <w:proofErr w:type="spellEnd"/>
      <w:r w:rsidRPr="00094419">
        <w:rPr>
          <w:rFonts w:asciiTheme="minorHAnsi" w:hAnsiTheme="minorHAnsi" w:cs="Arial"/>
          <w:i/>
          <w:szCs w:val="24"/>
          <w:lang w:val="es-ES_tradnl"/>
        </w:rPr>
        <w:t xml:space="preserve"> </w:t>
      </w:r>
      <w:proofErr w:type="spellStart"/>
      <w:r w:rsidRPr="00094419">
        <w:rPr>
          <w:rFonts w:asciiTheme="minorHAnsi" w:hAnsiTheme="minorHAnsi" w:cs="Arial"/>
          <w:i/>
          <w:szCs w:val="24"/>
          <w:lang w:val="es-ES_tradnl"/>
        </w:rPr>
        <w:t>Tool</w:t>
      </w:r>
      <w:proofErr w:type="spellEnd"/>
      <w:r w:rsidRPr="00094419">
        <w:rPr>
          <w:rFonts w:asciiTheme="minorHAnsi" w:hAnsiTheme="minorHAnsi" w:cs="Arial"/>
          <w:szCs w:val="24"/>
          <w:lang w:val="es-ES_tradnl"/>
        </w:rPr>
        <w:t xml:space="preserve">”, una </w:t>
      </w:r>
      <w:hyperlink r:id="rId16" w:history="1">
        <w:r w:rsidRPr="00094419">
          <w:rPr>
            <w:rStyle w:val="Hipervnculo"/>
            <w:rFonts w:asciiTheme="minorHAnsi" w:hAnsiTheme="minorHAnsi" w:cs="Arial"/>
            <w:szCs w:val="24"/>
            <w:lang w:val="es-ES_tradnl"/>
          </w:rPr>
          <w:t>herramienta</w:t>
        </w:r>
      </w:hyperlink>
      <w:r w:rsidRPr="00094419">
        <w:rPr>
          <w:rFonts w:asciiTheme="minorHAnsi" w:hAnsiTheme="minorHAnsi" w:cs="Arial"/>
          <w:szCs w:val="24"/>
          <w:lang w:val="es-ES_tradnl"/>
        </w:rPr>
        <w:t xml:space="preserve"> interactiva que permite a las empresas eléctricas mostrar a sus clientes, los datos sobre el uso de su electricidad. (AIE june)</w:t>
      </w:r>
    </w:p>
    <w:p w:rsidR="00185FCF" w:rsidRPr="00094419" w:rsidRDefault="00232AE1" w:rsidP="004B3809">
      <w:pPr>
        <w:numPr>
          <w:ilvl w:val="0"/>
          <w:numId w:val="11"/>
        </w:numPr>
        <w:spacing w:before="100" w:beforeAutospacing="1" w:line="276" w:lineRule="auto"/>
        <w:ind w:left="284" w:hanging="284"/>
        <w:rPr>
          <w:rFonts w:asciiTheme="minorHAnsi" w:hAnsiTheme="minorHAnsi" w:cs="Arial"/>
          <w:szCs w:val="24"/>
        </w:rPr>
      </w:pPr>
      <w:r>
        <w:rPr>
          <w:rFonts w:asciiTheme="minorHAnsi" w:hAnsiTheme="minorHAnsi" w:cs="Arial"/>
          <w:b/>
          <w:szCs w:val="24"/>
          <w:lang w:val="es-ES_tradnl"/>
        </w:rPr>
        <w:t>Los precios</w:t>
      </w:r>
      <w:r w:rsidR="00185FCF" w:rsidRPr="00094419">
        <w:rPr>
          <w:rFonts w:asciiTheme="minorHAnsi" w:hAnsiTheme="minorHAnsi" w:cs="Arial"/>
          <w:b/>
          <w:szCs w:val="24"/>
          <w:lang w:val="es-ES_tradnl"/>
        </w:rPr>
        <w:t xml:space="preserve"> mayoristas  de electricidad caen un 6% en 2011 en New </w:t>
      </w:r>
      <w:proofErr w:type="spellStart"/>
      <w:r w:rsidR="00185FCF" w:rsidRPr="00094419">
        <w:rPr>
          <w:rFonts w:asciiTheme="minorHAnsi" w:hAnsiTheme="minorHAnsi" w:cs="Arial"/>
          <w:b/>
          <w:szCs w:val="24"/>
          <w:lang w:val="es-ES_tradnl"/>
        </w:rPr>
        <w:t>England</w:t>
      </w:r>
      <w:proofErr w:type="spellEnd"/>
      <w:r w:rsidR="00185FCF" w:rsidRPr="00094419">
        <w:rPr>
          <w:rFonts w:asciiTheme="minorHAnsi" w:hAnsiTheme="minorHAnsi" w:cs="Arial"/>
          <w:szCs w:val="24"/>
          <w:lang w:val="es-ES_tradnl"/>
        </w:rPr>
        <w:t xml:space="preserve">, según el </w:t>
      </w:r>
      <w:hyperlink r:id="rId17" w:history="1">
        <w:r w:rsidR="00185FCF" w:rsidRPr="00094419">
          <w:rPr>
            <w:rStyle w:val="Hipervnculo"/>
            <w:rFonts w:asciiTheme="minorHAnsi" w:hAnsiTheme="minorHAnsi" w:cs="Arial"/>
            <w:szCs w:val="24"/>
            <w:lang w:val="es-ES_tradnl"/>
          </w:rPr>
          <w:t>informe</w:t>
        </w:r>
      </w:hyperlink>
      <w:r w:rsidR="00185FCF" w:rsidRPr="00094419">
        <w:rPr>
          <w:rFonts w:asciiTheme="minorHAnsi" w:hAnsiTheme="minorHAnsi" w:cs="Arial"/>
          <w:szCs w:val="24"/>
          <w:lang w:val="es-ES_tradnl"/>
        </w:rPr>
        <w:t xml:space="preserve"> del regulador, debido a los bajos precios del gas combinados con una mayor producción hidráulica y un descenso en la demanda de energía. Los precios se situaron en 46.68</w:t>
      </w:r>
      <w:r w:rsidR="002E3DEC">
        <w:rPr>
          <w:rFonts w:asciiTheme="minorHAnsi" w:hAnsiTheme="minorHAnsi" w:cs="Arial"/>
          <w:szCs w:val="24"/>
          <w:lang w:val="es-ES_tradnl"/>
        </w:rPr>
        <w:t xml:space="preserve"> </w:t>
      </w:r>
      <w:r w:rsidR="00185FCF" w:rsidRPr="00094419">
        <w:rPr>
          <w:rFonts w:asciiTheme="minorHAnsi" w:hAnsiTheme="minorHAnsi" w:cs="Arial"/>
          <w:szCs w:val="24"/>
          <w:lang w:val="es-ES_tradnl"/>
        </w:rPr>
        <w:t>USD/MWh (49,56</w:t>
      </w:r>
      <w:r w:rsidR="002E3DEC">
        <w:rPr>
          <w:rFonts w:asciiTheme="minorHAnsi" w:hAnsiTheme="minorHAnsi" w:cs="Arial"/>
          <w:szCs w:val="24"/>
          <w:lang w:val="es-ES_tradnl"/>
        </w:rPr>
        <w:t xml:space="preserve"> </w:t>
      </w:r>
      <w:r w:rsidR="00185FCF" w:rsidRPr="00094419">
        <w:rPr>
          <w:rFonts w:asciiTheme="minorHAnsi" w:hAnsiTheme="minorHAnsi" w:cs="Arial"/>
          <w:szCs w:val="24"/>
          <w:lang w:val="es-ES_tradnl"/>
        </w:rPr>
        <w:t>USD/MWh en 2010). (EPD 17.05)</w:t>
      </w:r>
    </w:p>
    <w:p w:rsidR="00185FCF" w:rsidRPr="00094419" w:rsidRDefault="00185FCF" w:rsidP="004B3809">
      <w:pPr>
        <w:numPr>
          <w:ilvl w:val="0"/>
          <w:numId w:val="11"/>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lang w:val="es-ES_tradnl"/>
        </w:rPr>
        <w:t>Los bajos precios del gas, hacen que los precios mayoristas registren valores mínimos  en mercados como PJM y SPP (</w:t>
      </w:r>
      <w:proofErr w:type="spellStart"/>
      <w:r w:rsidRPr="00094419">
        <w:rPr>
          <w:rFonts w:asciiTheme="minorHAnsi" w:hAnsiTheme="minorHAnsi" w:cs="Arial"/>
          <w:b/>
          <w:i/>
          <w:szCs w:val="24"/>
          <w:lang w:val="es-ES_tradnl"/>
        </w:rPr>
        <w:t>Southwest</w:t>
      </w:r>
      <w:proofErr w:type="spellEnd"/>
      <w:r w:rsidRPr="00094419">
        <w:rPr>
          <w:rFonts w:asciiTheme="minorHAnsi" w:hAnsiTheme="minorHAnsi" w:cs="Arial"/>
          <w:b/>
          <w:i/>
          <w:szCs w:val="24"/>
          <w:lang w:val="es-ES_tradnl"/>
        </w:rPr>
        <w:t xml:space="preserve"> </w:t>
      </w:r>
      <w:proofErr w:type="spellStart"/>
      <w:r w:rsidRPr="00094419">
        <w:rPr>
          <w:rFonts w:asciiTheme="minorHAnsi" w:hAnsiTheme="minorHAnsi" w:cs="Arial"/>
          <w:b/>
          <w:i/>
          <w:szCs w:val="24"/>
          <w:lang w:val="es-ES_tradnl"/>
        </w:rPr>
        <w:t>power</w:t>
      </w:r>
      <w:proofErr w:type="spellEnd"/>
      <w:r w:rsidRPr="00094419">
        <w:rPr>
          <w:rFonts w:asciiTheme="minorHAnsi" w:hAnsiTheme="minorHAnsi" w:cs="Arial"/>
          <w:b/>
          <w:i/>
          <w:szCs w:val="24"/>
          <w:lang w:val="es-ES_tradnl"/>
        </w:rPr>
        <w:t xml:space="preserve"> pool</w:t>
      </w:r>
      <w:r w:rsidRPr="00094419">
        <w:rPr>
          <w:rFonts w:asciiTheme="minorHAnsi" w:hAnsiTheme="minorHAnsi" w:cs="Arial"/>
          <w:b/>
          <w:szCs w:val="24"/>
          <w:lang w:val="es-ES_tradnl"/>
        </w:rPr>
        <w:t>).</w:t>
      </w:r>
      <w:r w:rsidRPr="00094419">
        <w:rPr>
          <w:rFonts w:asciiTheme="minorHAnsi" w:hAnsiTheme="minorHAnsi" w:cs="Arial"/>
          <w:szCs w:val="24"/>
          <w:lang w:val="es-ES_tradnl"/>
        </w:rPr>
        <w:t>(EPD 18.05)</w:t>
      </w:r>
    </w:p>
    <w:p w:rsidR="00185FCF" w:rsidRPr="00094419" w:rsidRDefault="00185FCF" w:rsidP="004B3809">
      <w:pPr>
        <w:numPr>
          <w:ilvl w:val="0"/>
          <w:numId w:val="11"/>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lang w:val="es-ES_tradnl"/>
        </w:rPr>
        <w:t xml:space="preserve">Según un </w:t>
      </w:r>
      <w:hyperlink r:id="rId18" w:history="1">
        <w:r w:rsidRPr="00094419">
          <w:rPr>
            <w:rStyle w:val="Hipervnculo"/>
            <w:rFonts w:asciiTheme="minorHAnsi" w:hAnsiTheme="minorHAnsi" w:cs="Arial"/>
            <w:b/>
            <w:szCs w:val="24"/>
            <w:lang w:val="es-ES_tradnl"/>
          </w:rPr>
          <w:t>estudio</w:t>
        </w:r>
      </w:hyperlink>
      <w:r w:rsidRPr="00094419">
        <w:rPr>
          <w:rFonts w:asciiTheme="minorHAnsi" w:hAnsiTheme="minorHAnsi" w:cs="Arial"/>
          <w:b/>
          <w:szCs w:val="24"/>
          <w:lang w:val="es-ES_tradnl"/>
        </w:rPr>
        <w:t>, una mayor cantidad de energía eólica y de redes de transporte reduciría los precios mayoristas en MISO</w:t>
      </w:r>
      <w:r w:rsidRPr="00094419">
        <w:rPr>
          <w:rFonts w:asciiTheme="minorHAnsi" w:hAnsiTheme="minorHAnsi" w:cs="Arial"/>
          <w:szCs w:val="24"/>
          <w:lang w:val="es-ES_tradnl"/>
        </w:rPr>
        <w:t>. Se estima que los precios se reducirían entre 3 y 10 USD/MWh y unos 50</w:t>
      </w:r>
      <w:r w:rsidR="002E3DEC">
        <w:rPr>
          <w:rFonts w:asciiTheme="minorHAnsi" w:hAnsiTheme="minorHAnsi" w:cs="Arial"/>
          <w:szCs w:val="24"/>
          <w:lang w:val="es-ES_tradnl"/>
        </w:rPr>
        <w:t xml:space="preserve"> </w:t>
      </w:r>
      <w:r w:rsidRPr="00094419">
        <w:rPr>
          <w:rFonts w:asciiTheme="minorHAnsi" w:hAnsiTheme="minorHAnsi" w:cs="Arial"/>
          <w:szCs w:val="24"/>
          <w:lang w:val="es-ES_tradnl"/>
        </w:rPr>
        <w:t>USD/MWh en 2030. Esto se debe a que la eólica desplazará a la generación convencional reduciéndose así el precio marginal de suministro. (EPD 23.05)</w:t>
      </w:r>
      <w:r w:rsidRPr="00094419">
        <w:rPr>
          <w:rFonts w:asciiTheme="minorHAnsi" w:hAnsiTheme="minorHAnsi" w:cs="Arial"/>
          <w:szCs w:val="24"/>
        </w:rPr>
        <w:t xml:space="preserve"> </w:t>
      </w:r>
    </w:p>
    <w:p w:rsidR="00185FCF" w:rsidRPr="00094419" w:rsidRDefault="00185FCF" w:rsidP="004B3809">
      <w:pPr>
        <w:numPr>
          <w:ilvl w:val="0"/>
          <w:numId w:val="11"/>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lang w:val="es-ES_tradnl"/>
        </w:rPr>
        <w:t xml:space="preserve">Los precios en tiempo real de la zona oeste de ERCOT fueron inusualmente altos en marzo y abril </w:t>
      </w:r>
      <w:r w:rsidRPr="00094419">
        <w:rPr>
          <w:rFonts w:asciiTheme="minorHAnsi" w:hAnsiTheme="minorHAnsi" w:cs="Arial"/>
          <w:szCs w:val="24"/>
          <w:lang w:val="es-ES_tradnl"/>
        </w:rPr>
        <w:t>debido a congestiones y apagones causados principalmente por la construcción de una zona de energías renovables (CREZ)</w:t>
      </w:r>
      <w:r w:rsidRPr="00094419">
        <w:rPr>
          <w:rFonts w:asciiTheme="minorHAnsi" w:hAnsiTheme="minorHAnsi" w:cs="Arial"/>
          <w:szCs w:val="24"/>
        </w:rPr>
        <w:t>. (EPD 24.05)</w:t>
      </w:r>
    </w:p>
    <w:p w:rsidR="00185FCF" w:rsidRPr="00A42BB5" w:rsidRDefault="00185FCF" w:rsidP="00094419">
      <w:pPr>
        <w:pStyle w:val="Ttulo3"/>
        <w:rPr>
          <w:lang w:val="es-ES_tradnl"/>
        </w:rPr>
      </w:pPr>
      <w:r w:rsidRPr="00A42BB5">
        <w:rPr>
          <w:lang w:val="es-ES_tradnl"/>
        </w:rPr>
        <w:t>Norteamérica – Redes y Garantía de suministro</w:t>
      </w:r>
    </w:p>
    <w:p w:rsidR="00185FCF" w:rsidRPr="00094419" w:rsidRDefault="00185FCF" w:rsidP="004B3809">
      <w:pPr>
        <w:pStyle w:val="Prrafodelista"/>
        <w:numPr>
          <w:ilvl w:val="0"/>
          <w:numId w:val="12"/>
        </w:numPr>
        <w:spacing w:before="100" w:beforeAutospacing="1" w:line="276" w:lineRule="auto"/>
        <w:ind w:left="284" w:hanging="284"/>
        <w:contextualSpacing/>
        <w:rPr>
          <w:rFonts w:asciiTheme="minorHAnsi" w:hAnsiTheme="minorHAnsi" w:cs="Arial"/>
          <w:szCs w:val="24"/>
        </w:rPr>
      </w:pPr>
      <w:r w:rsidRPr="00094419">
        <w:rPr>
          <w:rFonts w:asciiTheme="minorHAnsi" w:hAnsiTheme="minorHAnsi"/>
          <w:b/>
          <w:szCs w:val="24"/>
          <w:lang w:val="es-ES_tradnl"/>
        </w:rPr>
        <w:t xml:space="preserve">Las fisuras del mercado de capacidad de PJM </w:t>
      </w:r>
      <w:proofErr w:type="spellStart"/>
      <w:r w:rsidRPr="00094419">
        <w:rPr>
          <w:rFonts w:asciiTheme="minorHAnsi" w:hAnsiTheme="minorHAnsi"/>
          <w:b/>
          <w:szCs w:val="24"/>
          <w:lang w:val="es-ES_tradnl"/>
        </w:rPr>
        <w:t>Interconnection</w:t>
      </w:r>
      <w:proofErr w:type="spellEnd"/>
      <w:r w:rsidRPr="00094419">
        <w:rPr>
          <w:rFonts w:asciiTheme="minorHAnsi" w:hAnsiTheme="minorHAnsi"/>
          <w:b/>
          <w:szCs w:val="24"/>
          <w:lang w:val="es-ES_tradnl"/>
        </w:rPr>
        <w:t xml:space="preserve">, se manifiestan en una conferencia: </w:t>
      </w:r>
      <w:r w:rsidRPr="00094419">
        <w:rPr>
          <w:rFonts w:asciiTheme="minorHAnsi" w:hAnsiTheme="minorHAnsi"/>
          <w:szCs w:val="24"/>
          <w:lang w:val="es-ES_tradnl"/>
        </w:rPr>
        <w:t>según uno de los participantes, el mercado de capacidad está diseñado para mantener online generación antigua. Se afirma que el RPM (</w:t>
      </w:r>
      <w:proofErr w:type="spellStart"/>
      <w:r w:rsidRPr="00094419">
        <w:rPr>
          <w:rFonts w:asciiTheme="minorHAnsi" w:hAnsiTheme="minorHAnsi"/>
          <w:i/>
          <w:szCs w:val="24"/>
          <w:lang w:val="es-ES_tradnl"/>
        </w:rPr>
        <w:t>reliability</w:t>
      </w:r>
      <w:proofErr w:type="spellEnd"/>
      <w:r w:rsidRPr="00094419">
        <w:rPr>
          <w:rFonts w:asciiTheme="minorHAnsi" w:hAnsiTheme="minorHAnsi"/>
          <w:i/>
          <w:szCs w:val="24"/>
          <w:lang w:val="es-ES_tradnl"/>
        </w:rPr>
        <w:t xml:space="preserve"> </w:t>
      </w:r>
      <w:proofErr w:type="spellStart"/>
      <w:r w:rsidRPr="00094419">
        <w:rPr>
          <w:rFonts w:asciiTheme="minorHAnsi" w:hAnsiTheme="minorHAnsi"/>
          <w:i/>
          <w:szCs w:val="24"/>
          <w:lang w:val="es-ES_tradnl"/>
        </w:rPr>
        <w:t>pricing</w:t>
      </w:r>
      <w:proofErr w:type="spellEnd"/>
      <w:r w:rsidRPr="00094419">
        <w:rPr>
          <w:rFonts w:asciiTheme="minorHAnsi" w:hAnsiTheme="minorHAnsi"/>
          <w:i/>
          <w:szCs w:val="24"/>
          <w:lang w:val="es-ES_tradnl"/>
        </w:rPr>
        <w:t xml:space="preserve"> </w:t>
      </w:r>
      <w:proofErr w:type="spellStart"/>
      <w:r w:rsidRPr="00094419">
        <w:rPr>
          <w:rFonts w:asciiTheme="minorHAnsi" w:hAnsiTheme="minorHAnsi"/>
          <w:i/>
          <w:szCs w:val="24"/>
          <w:lang w:val="es-ES_tradnl"/>
        </w:rPr>
        <w:t>model</w:t>
      </w:r>
      <w:proofErr w:type="spellEnd"/>
      <w:r w:rsidRPr="00094419">
        <w:rPr>
          <w:rFonts w:asciiTheme="minorHAnsi" w:hAnsiTheme="minorHAnsi"/>
          <w:szCs w:val="24"/>
          <w:lang w:val="es-ES_tradnl"/>
        </w:rPr>
        <w:t>) no funciona correctamente ya que sólo el 7% de la nueva capacidad propuesta se construirá en New Jersey, además de que sólo protege</w:t>
      </w:r>
      <w:r w:rsidR="002E3DEC">
        <w:rPr>
          <w:rFonts w:asciiTheme="minorHAnsi" w:hAnsiTheme="minorHAnsi"/>
          <w:szCs w:val="24"/>
          <w:lang w:val="es-ES_tradnl"/>
        </w:rPr>
        <w:t xml:space="preserve"> a los generadores </w:t>
      </w:r>
      <w:proofErr w:type="spellStart"/>
      <w:r w:rsidR="002E3DEC">
        <w:rPr>
          <w:rFonts w:asciiTheme="minorHAnsi" w:hAnsiTheme="minorHAnsi"/>
          <w:szCs w:val="24"/>
          <w:lang w:val="es-ES_tradnl"/>
        </w:rPr>
        <w:t>incumbe</w:t>
      </w:r>
      <w:r w:rsidRPr="00094419">
        <w:rPr>
          <w:rFonts w:asciiTheme="minorHAnsi" w:hAnsiTheme="minorHAnsi"/>
          <w:szCs w:val="24"/>
          <w:lang w:val="es-ES_tradnl"/>
        </w:rPr>
        <w:t>ntes</w:t>
      </w:r>
      <w:proofErr w:type="spellEnd"/>
      <w:r w:rsidRPr="00094419">
        <w:rPr>
          <w:rFonts w:asciiTheme="minorHAnsi" w:hAnsiTheme="minorHAnsi"/>
          <w:szCs w:val="24"/>
          <w:lang w:val="es-ES_tradnl"/>
        </w:rPr>
        <w:t>. (EPD 01.05)</w:t>
      </w:r>
    </w:p>
    <w:p w:rsidR="00185FCF" w:rsidRPr="00094419" w:rsidRDefault="00185FCF" w:rsidP="004B3809">
      <w:pPr>
        <w:numPr>
          <w:ilvl w:val="0"/>
          <w:numId w:val="12"/>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rPr>
        <w:t xml:space="preserve">PJM aprueba destinar 2.000 Mill.USD en mejoras de las redes, </w:t>
      </w:r>
      <w:r w:rsidRPr="00094419">
        <w:rPr>
          <w:rFonts w:asciiTheme="minorHAnsi" w:hAnsiTheme="minorHAnsi" w:cs="Arial"/>
          <w:szCs w:val="24"/>
        </w:rPr>
        <w:t>entre ellas 130 proyectos de mejora relacionados con retirada de generación, que incluyen mejoras de redes existentes e instalación de nuevas redes. La mayor parte de las mejoras se producirán en Ohio. (EPD 18.05)</w:t>
      </w:r>
    </w:p>
    <w:p w:rsidR="00185FCF" w:rsidRPr="00094419" w:rsidRDefault="00185FCF" w:rsidP="004B3809">
      <w:pPr>
        <w:pStyle w:val="Prrafodelista"/>
        <w:numPr>
          <w:ilvl w:val="0"/>
          <w:numId w:val="12"/>
        </w:numPr>
        <w:spacing w:before="100" w:beforeAutospacing="1" w:line="276" w:lineRule="auto"/>
        <w:ind w:left="284" w:hanging="284"/>
        <w:rPr>
          <w:rFonts w:asciiTheme="minorHAnsi" w:hAnsiTheme="minorHAnsi" w:cs="Arial"/>
          <w:szCs w:val="24"/>
        </w:rPr>
      </w:pPr>
      <w:r w:rsidRPr="00094419">
        <w:rPr>
          <w:rFonts w:asciiTheme="minorHAnsi" w:hAnsiTheme="minorHAnsi"/>
          <w:b/>
          <w:szCs w:val="24"/>
          <w:lang w:val="es-ES_tradnl"/>
        </w:rPr>
        <w:t xml:space="preserve">Según un </w:t>
      </w:r>
      <w:hyperlink r:id="rId19" w:history="1">
        <w:r w:rsidRPr="00094419">
          <w:rPr>
            <w:rStyle w:val="Hipervnculo"/>
            <w:rFonts w:asciiTheme="minorHAnsi" w:hAnsiTheme="minorHAnsi"/>
            <w:b/>
            <w:szCs w:val="24"/>
            <w:lang w:val="es-ES_tradnl"/>
          </w:rPr>
          <w:t>estudio</w:t>
        </w:r>
      </w:hyperlink>
      <w:r w:rsidRPr="00094419">
        <w:rPr>
          <w:rFonts w:asciiTheme="minorHAnsi" w:hAnsiTheme="minorHAnsi"/>
          <w:b/>
          <w:szCs w:val="24"/>
          <w:lang w:val="es-ES_tradnl"/>
        </w:rPr>
        <w:t xml:space="preserve"> elaborado por 6 propietarios de redes de transporte, NY necesita mejorar 4.700 millas en la red </w:t>
      </w:r>
      <w:r w:rsidRPr="00094419">
        <w:rPr>
          <w:rFonts w:asciiTheme="minorHAnsi" w:hAnsiTheme="minorHAnsi"/>
          <w:szCs w:val="24"/>
          <w:lang w:val="es-ES_tradnl"/>
        </w:rPr>
        <w:t xml:space="preserve">los próximos 30 años, de modo que se pueda hacer frente a la demanda. El coste estimado es de 25.000 </w:t>
      </w:r>
      <w:proofErr w:type="spellStart"/>
      <w:r w:rsidRPr="00094419">
        <w:rPr>
          <w:rFonts w:asciiTheme="minorHAnsi" w:hAnsiTheme="minorHAnsi"/>
          <w:szCs w:val="24"/>
          <w:lang w:val="es-ES_tradnl"/>
        </w:rPr>
        <w:t>Mill</w:t>
      </w:r>
      <w:proofErr w:type="spellEnd"/>
      <w:r w:rsidRPr="00094419">
        <w:rPr>
          <w:rFonts w:asciiTheme="minorHAnsi" w:hAnsiTheme="minorHAnsi"/>
          <w:szCs w:val="24"/>
          <w:lang w:val="es-ES_tradnl"/>
        </w:rPr>
        <w:t>. USD</w:t>
      </w:r>
      <w:r w:rsidR="00232AE1">
        <w:rPr>
          <w:rFonts w:asciiTheme="minorHAnsi" w:hAnsiTheme="minorHAnsi"/>
          <w:szCs w:val="24"/>
          <w:lang w:val="es-ES_tradnl"/>
        </w:rPr>
        <w:t>. El estudio afirma que con las mejoras de la rede se podrán integrar cerca de 6.000 MW de eólica que ahora están bloqueados</w:t>
      </w:r>
      <w:r w:rsidRPr="00094419">
        <w:rPr>
          <w:rFonts w:asciiTheme="minorHAnsi" w:hAnsiTheme="minorHAnsi"/>
          <w:szCs w:val="24"/>
          <w:lang w:val="es-ES_tradnl"/>
        </w:rPr>
        <w:t>. (EPD 01.05)</w:t>
      </w:r>
    </w:p>
    <w:p w:rsidR="00185FCF" w:rsidRPr="00094419" w:rsidRDefault="00185FCF" w:rsidP="004B3809">
      <w:pPr>
        <w:pStyle w:val="Prrafodelista"/>
        <w:numPr>
          <w:ilvl w:val="0"/>
          <w:numId w:val="12"/>
        </w:numPr>
        <w:spacing w:before="100" w:beforeAutospacing="1" w:line="276" w:lineRule="auto"/>
        <w:ind w:left="284" w:hanging="284"/>
        <w:rPr>
          <w:rFonts w:asciiTheme="minorHAnsi" w:hAnsiTheme="minorHAnsi"/>
          <w:szCs w:val="24"/>
          <w:lang w:val="es-ES_tradnl"/>
        </w:rPr>
      </w:pPr>
      <w:r w:rsidRPr="00094419">
        <w:rPr>
          <w:rFonts w:asciiTheme="minorHAnsi" w:hAnsiTheme="minorHAnsi"/>
          <w:b/>
          <w:szCs w:val="24"/>
          <w:lang w:val="es-ES_tradnl"/>
        </w:rPr>
        <w:t xml:space="preserve">BPA interrumpe por primera vez en 2012 el suministro a la generación eólica </w:t>
      </w:r>
      <w:r w:rsidRPr="00094419">
        <w:rPr>
          <w:rFonts w:asciiTheme="minorHAnsi" w:hAnsiTheme="minorHAnsi"/>
          <w:szCs w:val="24"/>
          <w:lang w:val="es-ES_tradnl"/>
        </w:rPr>
        <w:t>para acomodar hidráulica, aunque aplicando el “</w:t>
      </w:r>
      <w:proofErr w:type="spellStart"/>
      <w:r w:rsidRPr="00094419">
        <w:rPr>
          <w:rFonts w:asciiTheme="minorHAnsi" w:hAnsiTheme="minorHAnsi"/>
          <w:i/>
          <w:szCs w:val="24"/>
          <w:lang w:val="es-ES_tradnl"/>
        </w:rPr>
        <w:t>oversupply</w:t>
      </w:r>
      <w:proofErr w:type="spellEnd"/>
      <w:r w:rsidRPr="00094419">
        <w:rPr>
          <w:rFonts w:asciiTheme="minorHAnsi" w:hAnsiTheme="minorHAnsi"/>
          <w:i/>
          <w:szCs w:val="24"/>
          <w:lang w:val="es-ES_tradnl"/>
        </w:rPr>
        <w:t xml:space="preserve"> </w:t>
      </w:r>
      <w:proofErr w:type="spellStart"/>
      <w:r w:rsidRPr="00094419">
        <w:rPr>
          <w:rFonts w:asciiTheme="minorHAnsi" w:hAnsiTheme="minorHAnsi"/>
          <w:i/>
          <w:szCs w:val="24"/>
          <w:lang w:val="es-ES_tradnl"/>
        </w:rPr>
        <w:t>protocol</w:t>
      </w:r>
      <w:proofErr w:type="spellEnd"/>
      <w:r w:rsidRPr="00094419">
        <w:rPr>
          <w:rFonts w:asciiTheme="minorHAnsi" w:hAnsiTheme="minorHAnsi"/>
          <w:szCs w:val="24"/>
          <w:lang w:val="es-ES_tradnl"/>
        </w:rPr>
        <w:t>” por el cual se compensa a los eólicos por los PTC y REC perdidos debido a la interrupción. (EDP 02.05)</w:t>
      </w:r>
      <w:r w:rsidR="002E3DEC">
        <w:rPr>
          <w:rFonts w:asciiTheme="minorHAnsi" w:hAnsiTheme="minorHAnsi"/>
          <w:szCs w:val="24"/>
          <w:lang w:val="es-ES_tradnl"/>
        </w:rPr>
        <w:t xml:space="preserve"> y </w:t>
      </w:r>
      <w:r w:rsidRPr="00094419">
        <w:rPr>
          <w:rFonts w:asciiTheme="minorHAnsi" w:hAnsiTheme="minorHAnsi"/>
          <w:szCs w:val="24"/>
          <w:lang w:val="es-ES_tradnl"/>
        </w:rPr>
        <w:t xml:space="preserve">(EUW 07.05). En cualquier caso, </w:t>
      </w:r>
      <w:r w:rsidRPr="00094419">
        <w:rPr>
          <w:rFonts w:asciiTheme="minorHAnsi" w:hAnsiTheme="minorHAnsi"/>
          <w:b/>
          <w:szCs w:val="24"/>
          <w:lang w:val="es-ES_tradnl"/>
        </w:rPr>
        <w:t xml:space="preserve">BPA estima que no interrumpirá el suministro a la eólica durante el 2012, </w:t>
      </w:r>
      <w:r w:rsidRPr="00094419">
        <w:rPr>
          <w:rFonts w:asciiTheme="minorHAnsi" w:hAnsiTheme="minorHAnsi"/>
          <w:szCs w:val="24"/>
          <w:lang w:val="es-ES_tradnl"/>
        </w:rPr>
        <w:t>después de haber interrumpido entre el 29 de abril y el 2 de mayo 20,6G</w:t>
      </w:r>
      <w:r w:rsidR="002E3DEC">
        <w:rPr>
          <w:rFonts w:asciiTheme="minorHAnsi" w:hAnsiTheme="minorHAnsi"/>
          <w:szCs w:val="24"/>
          <w:lang w:val="es-ES_tradnl"/>
        </w:rPr>
        <w:t xml:space="preserve"> </w:t>
      </w:r>
      <w:proofErr w:type="spellStart"/>
      <w:r w:rsidRPr="00094419">
        <w:rPr>
          <w:rFonts w:asciiTheme="minorHAnsi" w:hAnsiTheme="minorHAnsi"/>
          <w:szCs w:val="24"/>
          <w:lang w:val="es-ES_tradnl"/>
        </w:rPr>
        <w:t>Wh</w:t>
      </w:r>
      <w:proofErr w:type="spellEnd"/>
      <w:r w:rsidRPr="00094419">
        <w:rPr>
          <w:rFonts w:asciiTheme="minorHAnsi" w:hAnsiTheme="minorHAnsi"/>
          <w:szCs w:val="24"/>
          <w:lang w:val="es-ES_tradnl"/>
        </w:rPr>
        <w:t xml:space="preserve"> y 100</w:t>
      </w:r>
      <w:r w:rsidR="002E3DEC">
        <w:rPr>
          <w:rFonts w:asciiTheme="minorHAnsi" w:hAnsiTheme="minorHAnsi"/>
          <w:szCs w:val="24"/>
          <w:lang w:val="es-ES_tradnl"/>
        </w:rPr>
        <w:t xml:space="preserve"> </w:t>
      </w:r>
      <w:proofErr w:type="spellStart"/>
      <w:r w:rsidRPr="00094419">
        <w:rPr>
          <w:rFonts w:asciiTheme="minorHAnsi" w:hAnsiTheme="minorHAnsi"/>
          <w:szCs w:val="24"/>
          <w:lang w:val="es-ES_tradnl"/>
        </w:rPr>
        <w:t>GWh</w:t>
      </w:r>
      <w:proofErr w:type="spellEnd"/>
      <w:r w:rsidRPr="00094419">
        <w:rPr>
          <w:rFonts w:asciiTheme="minorHAnsi" w:hAnsiTheme="minorHAnsi"/>
          <w:szCs w:val="24"/>
          <w:lang w:val="es-ES_tradnl"/>
        </w:rPr>
        <w:t xml:space="preserve"> en 2011. Esto es debido a que en primavera ha sido capaz de gestionar de manera más eficiente los recursos hidráulicos. (EPD </w:t>
      </w:r>
      <w:r w:rsidRPr="00094419">
        <w:rPr>
          <w:rFonts w:asciiTheme="minorHAnsi" w:hAnsiTheme="minorHAnsi"/>
          <w:szCs w:val="24"/>
          <w:lang w:val="es-ES_tradnl"/>
        </w:rPr>
        <w:lastRenderedPageBreak/>
        <w:t>04.06).</w:t>
      </w:r>
      <w:r w:rsidR="00232AE1">
        <w:rPr>
          <w:rFonts w:asciiTheme="minorHAnsi" w:hAnsiTheme="minorHAnsi"/>
          <w:szCs w:val="24"/>
          <w:lang w:val="es-ES_tradnl"/>
        </w:rPr>
        <w:t xml:space="preserve"> Estas actuaciones están siendo objeto de grandes polémicas y contrapropuestas por parte de los generadores renovables afectados. </w:t>
      </w:r>
    </w:p>
    <w:p w:rsidR="00185FCF" w:rsidRPr="00094419" w:rsidRDefault="00185FCF" w:rsidP="004B3809">
      <w:pPr>
        <w:pStyle w:val="Prrafodelista"/>
        <w:numPr>
          <w:ilvl w:val="0"/>
          <w:numId w:val="12"/>
        </w:numPr>
        <w:spacing w:before="100" w:beforeAutospacing="1" w:line="276" w:lineRule="auto"/>
        <w:ind w:left="284" w:hanging="284"/>
        <w:rPr>
          <w:rFonts w:asciiTheme="minorHAnsi" w:hAnsiTheme="minorHAnsi" w:cs="Arial"/>
          <w:szCs w:val="24"/>
        </w:rPr>
      </w:pPr>
      <w:r w:rsidRPr="00094419">
        <w:rPr>
          <w:rFonts w:asciiTheme="minorHAnsi" w:hAnsiTheme="minorHAnsi"/>
          <w:b/>
          <w:szCs w:val="24"/>
          <w:lang w:val="es-ES_tradnl"/>
        </w:rPr>
        <w:t>FERC acepta los cambios en el procedimiento de conexión de PJM</w:t>
      </w:r>
      <w:r w:rsidRPr="00094419">
        <w:rPr>
          <w:rFonts w:asciiTheme="minorHAnsi" w:hAnsiTheme="minorHAnsi"/>
          <w:szCs w:val="24"/>
          <w:lang w:val="es-ES_tradnl"/>
        </w:rPr>
        <w:t>, los cuales suponen un aumento en el ciclo de espera de 3 a 6 meses de modo que los clientes podrán decidir si esperar o abandonar la espera. PJM deberá cumplir estrictamente con ese nuevo plazo.  (EPD 02.05)</w:t>
      </w:r>
    </w:p>
    <w:p w:rsidR="00185FCF" w:rsidRPr="00094419" w:rsidRDefault="00185FCF" w:rsidP="004B3809">
      <w:pPr>
        <w:numPr>
          <w:ilvl w:val="0"/>
          <w:numId w:val="12"/>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rPr>
        <w:t xml:space="preserve">El departamento de Agricultura de los EEUU (USDA) concederá ayudas por 334 </w:t>
      </w:r>
      <w:proofErr w:type="spellStart"/>
      <w:r w:rsidRPr="00094419">
        <w:rPr>
          <w:rFonts w:asciiTheme="minorHAnsi" w:hAnsiTheme="minorHAnsi" w:cs="Arial"/>
          <w:b/>
          <w:szCs w:val="24"/>
        </w:rPr>
        <w:t>Mill</w:t>
      </w:r>
      <w:proofErr w:type="spellEnd"/>
      <w:r w:rsidRPr="00094419">
        <w:rPr>
          <w:rFonts w:asciiTheme="minorHAnsi" w:hAnsiTheme="minorHAnsi" w:cs="Arial"/>
          <w:b/>
          <w:szCs w:val="24"/>
        </w:rPr>
        <w:t>. USD para mejoras de la red rural.</w:t>
      </w:r>
      <w:r w:rsidRPr="00094419">
        <w:rPr>
          <w:rFonts w:asciiTheme="minorHAnsi" w:hAnsiTheme="minorHAnsi" w:cs="Arial"/>
          <w:szCs w:val="24"/>
        </w:rPr>
        <w:t xml:space="preserve"> Los préstamos se destinarán a la instalación de tecnologías de redes inteligentes y a mejoras en instalaciones de generación, de transporte y de distribución. (EPD 07.05)</w:t>
      </w:r>
    </w:p>
    <w:p w:rsidR="00185FCF" w:rsidRPr="00094419" w:rsidRDefault="00185FCF" w:rsidP="004B3809">
      <w:pPr>
        <w:numPr>
          <w:ilvl w:val="0"/>
          <w:numId w:val="12"/>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rPr>
        <w:t>FERC quiere establecer unos estándares para prevenir los daños de las tormentas geomagnéticas</w:t>
      </w:r>
      <w:r w:rsidRPr="00094419">
        <w:rPr>
          <w:rFonts w:asciiTheme="minorHAnsi" w:hAnsiTheme="minorHAnsi" w:cs="Arial"/>
          <w:szCs w:val="24"/>
        </w:rPr>
        <w:t>, tras consultar con todos los actores implicados. Recientemente la NERC publicó un informe donde detallaba la necesidad de tomar medidas contra estos fenómenos para evitar fallos en las redes. (EUW 07.05)</w:t>
      </w:r>
      <w:r w:rsidR="002E3DEC">
        <w:rPr>
          <w:rFonts w:asciiTheme="minorHAnsi" w:hAnsiTheme="minorHAnsi" w:cs="Arial"/>
          <w:szCs w:val="24"/>
        </w:rPr>
        <w:t>. P</w:t>
      </w:r>
      <w:r w:rsidRPr="00094419">
        <w:rPr>
          <w:rFonts w:asciiTheme="minorHAnsi" w:hAnsiTheme="minorHAnsi" w:cs="Arial"/>
          <w:szCs w:val="24"/>
        </w:rPr>
        <w:t xml:space="preserve">or su parte, </w:t>
      </w:r>
      <w:r w:rsidRPr="00094419">
        <w:rPr>
          <w:rFonts w:asciiTheme="minorHAnsi" w:hAnsiTheme="minorHAnsi" w:cs="Arial"/>
          <w:b/>
          <w:szCs w:val="24"/>
        </w:rPr>
        <w:t>NERC propone un plan de acción para la defensa de las tormentas geomagnéticas,</w:t>
      </w:r>
      <w:r w:rsidRPr="00094419">
        <w:rPr>
          <w:rFonts w:asciiTheme="minorHAnsi" w:hAnsiTheme="minorHAnsi" w:cs="Arial"/>
          <w:szCs w:val="24"/>
        </w:rPr>
        <w:t xml:space="preserve"> que se diseñará entre todos los agentes implicados. En primer lugar</w:t>
      </w:r>
      <w:r w:rsidR="002E3DEC">
        <w:rPr>
          <w:rFonts w:asciiTheme="minorHAnsi" w:hAnsiTheme="minorHAnsi" w:cs="Arial"/>
          <w:szCs w:val="24"/>
        </w:rPr>
        <w:t>,</w:t>
      </w:r>
      <w:r w:rsidRPr="00094419">
        <w:rPr>
          <w:rFonts w:asciiTheme="minorHAnsi" w:hAnsiTheme="minorHAnsi" w:cs="Arial"/>
          <w:szCs w:val="24"/>
        </w:rPr>
        <w:t xml:space="preserve"> se identificarán la</w:t>
      </w:r>
      <w:r w:rsidR="002E3DEC">
        <w:rPr>
          <w:rFonts w:asciiTheme="minorHAnsi" w:hAnsiTheme="minorHAnsi" w:cs="Arial"/>
          <w:szCs w:val="24"/>
        </w:rPr>
        <w:t>s instalaciones más vulnerables</w:t>
      </w:r>
      <w:r w:rsidRPr="00094419">
        <w:rPr>
          <w:rFonts w:asciiTheme="minorHAnsi" w:hAnsiTheme="minorHAnsi" w:cs="Arial"/>
          <w:szCs w:val="24"/>
        </w:rPr>
        <w:t xml:space="preserve"> y se desarrollarán modelos de simulación. (EUW 28.05)</w:t>
      </w:r>
    </w:p>
    <w:p w:rsidR="00185FCF" w:rsidRPr="00094419" w:rsidRDefault="00185FCF" w:rsidP="004B3809">
      <w:pPr>
        <w:numPr>
          <w:ilvl w:val="0"/>
          <w:numId w:val="12"/>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rPr>
        <w:t xml:space="preserve">La Oficina del Presupuesto del Congreso de los EEUU elabora un </w:t>
      </w:r>
      <w:hyperlink r:id="rId20" w:history="1">
        <w:r w:rsidRPr="00094419">
          <w:rPr>
            <w:rStyle w:val="Hipervnculo"/>
            <w:rFonts w:asciiTheme="minorHAnsi" w:hAnsiTheme="minorHAnsi" w:cs="Arial"/>
            <w:b/>
            <w:szCs w:val="24"/>
          </w:rPr>
          <w:t>informe</w:t>
        </w:r>
      </w:hyperlink>
      <w:r w:rsidRPr="00094419">
        <w:rPr>
          <w:rFonts w:asciiTheme="minorHAnsi" w:hAnsiTheme="minorHAnsi" w:cs="Arial"/>
          <w:b/>
          <w:szCs w:val="24"/>
        </w:rPr>
        <w:t xml:space="preserve"> en el que afirma que la diversidad de combustibles significa estabilidad de precios. </w:t>
      </w:r>
      <w:r w:rsidRPr="00094419">
        <w:rPr>
          <w:rFonts w:asciiTheme="minorHAnsi" w:hAnsiTheme="minorHAnsi" w:cs="Arial"/>
          <w:szCs w:val="24"/>
        </w:rPr>
        <w:t>Los precios del petróleo si están sujetos a cuestiones políticas o militares, mientras que el resto no representa muchos problemas al estar disponibles en los EEUU. (EUP 10.05)</w:t>
      </w:r>
    </w:p>
    <w:p w:rsidR="00185FCF" w:rsidRPr="00094419" w:rsidRDefault="00185FCF" w:rsidP="004B3809">
      <w:pPr>
        <w:numPr>
          <w:ilvl w:val="0"/>
          <w:numId w:val="12"/>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rPr>
        <w:t xml:space="preserve">Según un </w:t>
      </w:r>
      <w:hyperlink r:id="rId21" w:history="1">
        <w:r w:rsidRPr="00094419">
          <w:rPr>
            <w:rStyle w:val="Hipervnculo"/>
            <w:rFonts w:asciiTheme="minorHAnsi" w:hAnsiTheme="minorHAnsi" w:cs="Arial"/>
            <w:b/>
            <w:szCs w:val="24"/>
          </w:rPr>
          <w:t>informe</w:t>
        </w:r>
      </w:hyperlink>
      <w:r w:rsidRPr="00094419">
        <w:rPr>
          <w:rFonts w:asciiTheme="minorHAnsi" w:hAnsiTheme="minorHAnsi" w:cs="Arial"/>
          <w:b/>
          <w:szCs w:val="24"/>
        </w:rPr>
        <w:t xml:space="preserve"> de NYISO, la fiabilidad de la red en el estado es buena, </w:t>
      </w:r>
      <w:r w:rsidRPr="00094419">
        <w:rPr>
          <w:rFonts w:asciiTheme="minorHAnsi" w:hAnsiTheme="minorHAnsi" w:cs="Arial"/>
          <w:szCs w:val="24"/>
        </w:rPr>
        <w:t>pero habrá que tener en cuenta el efecto del gas en la misma, ya que sus precios extremadamente bajos han cambiado el panorama energético del estado en cuanto a generación, planificación y operación de red. (EPD 11.05)</w:t>
      </w:r>
    </w:p>
    <w:p w:rsidR="00185FCF" w:rsidRPr="00094419" w:rsidRDefault="00185FCF" w:rsidP="004B3809">
      <w:pPr>
        <w:numPr>
          <w:ilvl w:val="0"/>
          <w:numId w:val="12"/>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rPr>
        <w:t xml:space="preserve">La PUC de Pennsylvania propone reducciones en el consumo para las empresas de al menos un 3% para el 31 de mayo de 2013 </w:t>
      </w:r>
      <w:r w:rsidRPr="00094419">
        <w:rPr>
          <w:rFonts w:asciiTheme="minorHAnsi" w:hAnsiTheme="minorHAnsi" w:cs="Arial"/>
          <w:szCs w:val="24"/>
        </w:rPr>
        <w:t>como parte de su programa de eficiencia y ahorro energético. La demanda pico se deberá reducir un 4,5% para mediados de 2013. (EPD 15.05)</w:t>
      </w:r>
    </w:p>
    <w:p w:rsidR="00185FCF" w:rsidRPr="00094419" w:rsidRDefault="00185FCF" w:rsidP="004B3809">
      <w:pPr>
        <w:numPr>
          <w:ilvl w:val="0"/>
          <w:numId w:val="12"/>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rPr>
        <w:t xml:space="preserve">Cal ISO modifica la normativa de conexión de la generación distribuida, de modo que se simplifica y se reducen los plazos. </w:t>
      </w:r>
      <w:r w:rsidRPr="00094419">
        <w:rPr>
          <w:rFonts w:asciiTheme="minorHAnsi" w:hAnsiTheme="minorHAnsi" w:cs="Arial"/>
          <w:szCs w:val="24"/>
        </w:rPr>
        <w:t xml:space="preserve">Gracias a estos cambios, las energías renovables irán aumentando su participación en el mercado. La generación distribuida tendrá cada vez más importancia en el </w:t>
      </w:r>
      <w:proofErr w:type="spellStart"/>
      <w:r w:rsidRPr="00094419">
        <w:rPr>
          <w:rFonts w:asciiTheme="minorHAnsi" w:hAnsiTheme="minorHAnsi" w:cs="Arial"/>
          <w:szCs w:val="24"/>
        </w:rPr>
        <w:t>mix</w:t>
      </w:r>
      <w:proofErr w:type="spellEnd"/>
      <w:r w:rsidRPr="00094419">
        <w:rPr>
          <w:rFonts w:asciiTheme="minorHAnsi" w:hAnsiTheme="minorHAnsi" w:cs="Arial"/>
          <w:szCs w:val="24"/>
        </w:rPr>
        <w:t xml:space="preserve"> del estado. (EPD 18.05)</w:t>
      </w:r>
    </w:p>
    <w:p w:rsidR="00185FCF" w:rsidRPr="00094419" w:rsidRDefault="00185FCF" w:rsidP="004B3809">
      <w:pPr>
        <w:numPr>
          <w:ilvl w:val="0"/>
          <w:numId w:val="12"/>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rPr>
        <w:t>FERC rechaza la subasta obligatoria de capacidad de MISO</w:t>
      </w:r>
      <w:r w:rsidRPr="00094419">
        <w:rPr>
          <w:rFonts w:asciiTheme="minorHAnsi" w:hAnsiTheme="minorHAnsi" w:cs="Arial"/>
          <w:szCs w:val="24"/>
        </w:rPr>
        <w:t xml:space="preserve"> para entidades de servicios de carga que no proporcionen suficientes reservas, al considerar que las mismas no están justificadas al utilizarse ampliamente en el estado los contratos bilaterales.</w:t>
      </w:r>
      <w:r w:rsidR="002E3DEC">
        <w:rPr>
          <w:rFonts w:asciiTheme="minorHAnsi" w:hAnsiTheme="minorHAnsi" w:cs="Arial"/>
          <w:szCs w:val="24"/>
        </w:rPr>
        <w:t xml:space="preserve"> </w:t>
      </w:r>
      <w:r w:rsidRPr="00094419">
        <w:rPr>
          <w:rFonts w:asciiTheme="minorHAnsi" w:hAnsiTheme="minorHAnsi" w:cs="Arial"/>
          <w:szCs w:val="24"/>
        </w:rPr>
        <w:t>(EPD 12.06)</w:t>
      </w:r>
    </w:p>
    <w:p w:rsidR="00185FCF" w:rsidRPr="00094419" w:rsidRDefault="00185FCF" w:rsidP="004B3809">
      <w:pPr>
        <w:numPr>
          <w:ilvl w:val="0"/>
          <w:numId w:val="12"/>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rPr>
        <w:t xml:space="preserve">FERC le pide a las compañías que mejoren la gestión de la vegetación, </w:t>
      </w:r>
      <w:r w:rsidRPr="00094419">
        <w:rPr>
          <w:rFonts w:asciiTheme="minorHAnsi" w:hAnsiTheme="minorHAnsi" w:cs="Arial"/>
          <w:szCs w:val="24"/>
        </w:rPr>
        <w:t>de modo que se eviten en un futuro cortes en el suministro debido a caídas de árboles en la red. Según la FERC la mayoría de las interrupciones de suministro se deben a este motivo. (EPD 22.06)</w:t>
      </w:r>
    </w:p>
    <w:p w:rsidR="00185FCF" w:rsidRPr="00094419" w:rsidRDefault="00185FCF" w:rsidP="004B3809">
      <w:pPr>
        <w:numPr>
          <w:ilvl w:val="0"/>
          <w:numId w:val="12"/>
        </w:numPr>
        <w:spacing w:before="100" w:beforeAutospacing="1" w:line="276" w:lineRule="auto"/>
        <w:ind w:left="284" w:hanging="284"/>
        <w:rPr>
          <w:rFonts w:asciiTheme="minorHAnsi" w:hAnsiTheme="minorHAnsi" w:cs="Arial"/>
          <w:szCs w:val="24"/>
        </w:rPr>
      </w:pPr>
      <w:r w:rsidRPr="00094419">
        <w:rPr>
          <w:rFonts w:asciiTheme="minorHAnsi" w:hAnsiTheme="minorHAnsi" w:cs="Arial"/>
          <w:b/>
          <w:szCs w:val="24"/>
        </w:rPr>
        <w:t>La FERC le da el visto bueno a las revisiones propuestas por la NERC sobre la definición de la red de transporte (</w:t>
      </w:r>
      <w:proofErr w:type="spellStart"/>
      <w:r w:rsidRPr="00094419">
        <w:rPr>
          <w:rFonts w:asciiTheme="minorHAnsi" w:hAnsiTheme="minorHAnsi" w:cs="Arial"/>
          <w:b/>
          <w:i/>
          <w:szCs w:val="24"/>
        </w:rPr>
        <w:t>Bulk</w:t>
      </w:r>
      <w:proofErr w:type="spellEnd"/>
      <w:r w:rsidRPr="00094419">
        <w:rPr>
          <w:rFonts w:asciiTheme="minorHAnsi" w:hAnsiTheme="minorHAnsi" w:cs="Arial"/>
          <w:b/>
          <w:i/>
          <w:szCs w:val="24"/>
        </w:rPr>
        <w:t xml:space="preserve"> </w:t>
      </w:r>
      <w:proofErr w:type="spellStart"/>
      <w:r w:rsidRPr="00094419">
        <w:rPr>
          <w:rFonts w:asciiTheme="minorHAnsi" w:hAnsiTheme="minorHAnsi" w:cs="Arial"/>
          <w:b/>
          <w:i/>
          <w:szCs w:val="24"/>
        </w:rPr>
        <w:t>electric</w:t>
      </w:r>
      <w:proofErr w:type="spellEnd"/>
      <w:r w:rsidRPr="00094419">
        <w:rPr>
          <w:rFonts w:asciiTheme="minorHAnsi" w:hAnsiTheme="minorHAnsi" w:cs="Arial"/>
          <w:b/>
          <w:i/>
          <w:szCs w:val="24"/>
        </w:rPr>
        <w:t xml:space="preserve"> </w:t>
      </w:r>
      <w:proofErr w:type="spellStart"/>
      <w:r w:rsidRPr="00094419">
        <w:rPr>
          <w:rFonts w:asciiTheme="minorHAnsi" w:hAnsiTheme="minorHAnsi" w:cs="Arial"/>
          <w:b/>
          <w:i/>
          <w:szCs w:val="24"/>
        </w:rPr>
        <w:t>system</w:t>
      </w:r>
      <w:proofErr w:type="spellEnd"/>
      <w:r w:rsidRPr="00094419">
        <w:rPr>
          <w:rFonts w:asciiTheme="minorHAnsi" w:hAnsiTheme="minorHAnsi" w:cs="Arial"/>
          <w:b/>
          <w:szCs w:val="24"/>
        </w:rPr>
        <w:t>).</w:t>
      </w:r>
      <w:r w:rsidRPr="00094419">
        <w:rPr>
          <w:rFonts w:asciiTheme="minorHAnsi" w:hAnsiTheme="minorHAnsi" w:cs="Arial"/>
          <w:szCs w:val="24"/>
        </w:rPr>
        <w:t xml:space="preserve"> La nueva definición incluye al transporte e instalaciones de energía real y reactiva que estén conectadas a 100</w:t>
      </w:r>
      <w:r w:rsidR="005A0258">
        <w:rPr>
          <w:rFonts w:asciiTheme="minorHAnsi" w:hAnsiTheme="minorHAnsi" w:cs="Arial"/>
          <w:szCs w:val="24"/>
        </w:rPr>
        <w:t xml:space="preserve"> </w:t>
      </w:r>
      <w:proofErr w:type="spellStart"/>
      <w:r w:rsidRPr="00094419">
        <w:rPr>
          <w:rFonts w:asciiTheme="minorHAnsi" w:hAnsiTheme="minorHAnsi" w:cs="Arial"/>
          <w:szCs w:val="24"/>
        </w:rPr>
        <w:t>kV</w:t>
      </w:r>
      <w:proofErr w:type="spellEnd"/>
      <w:r w:rsidRPr="00094419">
        <w:rPr>
          <w:rFonts w:asciiTheme="minorHAnsi" w:hAnsiTheme="minorHAnsi" w:cs="Arial"/>
          <w:szCs w:val="24"/>
        </w:rPr>
        <w:t xml:space="preserve"> o más. La clarificación de la definición proporciona una mayor claridad e identifica qué partes de la red están sujetas a los estándares de fiabilidad obligatorios de la FERC. (EPD 22.05).</w:t>
      </w:r>
    </w:p>
    <w:p w:rsidR="00185FCF" w:rsidRPr="00F22336" w:rsidRDefault="00185FCF" w:rsidP="00094419">
      <w:pPr>
        <w:pStyle w:val="Ttulo3"/>
        <w:rPr>
          <w:lang w:val="es-ES_tradnl"/>
        </w:rPr>
      </w:pPr>
      <w:r w:rsidRPr="00F22336">
        <w:rPr>
          <w:lang w:val="es-ES_tradnl"/>
        </w:rPr>
        <w:lastRenderedPageBreak/>
        <w:t xml:space="preserve">Norteamérica – </w:t>
      </w:r>
      <w:r>
        <w:rPr>
          <w:lang w:val="es-ES_tradnl"/>
        </w:rPr>
        <w:t>Mercados</w:t>
      </w:r>
    </w:p>
    <w:p w:rsidR="00185FCF" w:rsidRDefault="00185FCF" w:rsidP="004B3809">
      <w:pPr>
        <w:numPr>
          <w:ilvl w:val="0"/>
          <w:numId w:val="13"/>
        </w:numPr>
        <w:spacing w:before="100" w:beforeAutospacing="1" w:line="276" w:lineRule="auto"/>
        <w:ind w:left="284" w:hanging="284"/>
        <w:rPr>
          <w:szCs w:val="24"/>
          <w:lang w:val="es-ES_tradnl"/>
        </w:rPr>
      </w:pPr>
      <w:r w:rsidRPr="00A250F0">
        <w:rPr>
          <w:b/>
          <w:szCs w:val="24"/>
          <w:lang w:val="es-ES_tradnl"/>
        </w:rPr>
        <w:t xml:space="preserve">La generación con carbón en PJM </w:t>
      </w:r>
      <w:proofErr w:type="spellStart"/>
      <w:r w:rsidRPr="00A250F0">
        <w:rPr>
          <w:b/>
          <w:szCs w:val="24"/>
          <w:lang w:val="es-ES_tradnl"/>
        </w:rPr>
        <w:t>Interconnection</w:t>
      </w:r>
      <w:proofErr w:type="spellEnd"/>
      <w:r w:rsidRPr="00A250F0">
        <w:rPr>
          <w:b/>
          <w:szCs w:val="24"/>
          <w:lang w:val="es-ES_tradnl"/>
        </w:rPr>
        <w:t xml:space="preserve"> volvió a caer en abril, suponiendo un 38,2% </w:t>
      </w:r>
      <w:r w:rsidRPr="00A250F0">
        <w:rPr>
          <w:szCs w:val="24"/>
          <w:lang w:val="es-ES_tradnl"/>
        </w:rPr>
        <w:t>(un 15% menos que en abril 2011).</w:t>
      </w:r>
      <w:r w:rsidR="005A0258">
        <w:rPr>
          <w:szCs w:val="24"/>
          <w:lang w:val="es-ES_tradnl"/>
        </w:rPr>
        <w:t xml:space="preserve"> </w:t>
      </w:r>
      <w:r w:rsidRPr="00A250F0">
        <w:rPr>
          <w:szCs w:val="24"/>
          <w:lang w:val="es-ES_tradnl"/>
        </w:rPr>
        <w:t>En cambio la generación con gas natural sigue creciendo y supone un 19,36% en abril mientras que la eólica supuso el 2,57% y la nuclear el 36,1%. (EPD 05.06).</w:t>
      </w:r>
    </w:p>
    <w:p w:rsidR="00185FCF" w:rsidRPr="00A250F0" w:rsidRDefault="00185FCF" w:rsidP="004B3809">
      <w:pPr>
        <w:numPr>
          <w:ilvl w:val="0"/>
          <w:numId w:val="13"/>
        </w:numPr>
        <w:spacing w:before="100" w:beforeAutospacing="1" w:line="276" w:lineRule="auto"/>
        <w:ind w:left="284" w:hanging="284"/>
        <w:rPr>
          <w:szCs w:val="24"/>
          <w:lang w:val="es-ES_tradnl"/>
        </w:rPr>
      </w:pPr>
      <w:r>
        <w:rPr>
          <w:b/>
          <w:szCs w:val="24"/>
          <w:lang w:val="es-ES_tradnl"/>
        </w:rPr>
        <w:t xml:space="preserve">Por primera vez desde que se registran los datos, el gas igualó al carbón en el </w:t>
      </w:r>
      <w:proofErr w:type="spellStart"/>
      <w:r>
        <w:rPr>
          <w:b/>
          <w:szCs w:val="24"/>
          <w:lang w:val="es-ES_tradnl"/>
        </w:rPr>
        <w:t>mix</w:t>
      </w:r>
      <w:proofErr w:type="spellEnd"/>
      <w:r>
        <w:rPr>
          <w:b/>
          <w:szCs w:val="24"/>
          <w:lang w:val="es-ES_tradnl"/>
        </w:rPr>
        <w:t xml:space="preserve"> de generación en los EEUU, </w:t>
      </w:r>
      <w:r w:rsidRPr="00597957">
        <w:rPr>
          <w:szCs w:val="24"/>
          <w:lang w:val="es-ES_tradnl"/>
        </w:rPr>
        <w:t>suponiendo ambos el 32%</w:t>
      </w:r>
      <w:r w:rsidR="00232AE1">
        <w:rPr>
          <w:szCs w:val="24"/>
          <w:lang w:val="es-ES_tradnl"/>
        </w:rPr>
        <w:t>.</w:t>
      </w:r>
      <w:r w:rsidRPr="00597957">
        <w:rPr>
          <w:szCs w:val="24"/>
          <w:lang w:val="es-ES_tradnl"/>
        </w:rPr>
        <w:t xml:space="preserve"> (EPD 28.06)</w:t>
      </w:r>
    </w:p>
    <w:p w:rsidR="00185FCF" w:rsidRPr="00A42BB5" w:rsidRDefault="00185FCF" w:rsidP="00094419">
      <w:pPr>
        <w:pStyle w:val="Ttulo3"/>
        <w:rPr>
          <w:lang w:val="es-ES_tradnl"/>
        </w:rPr>
      </w:pPr>
      <w:r w:rsidRPr="00A42BB5">
        <w:rPr>
          <w:lang w:val="es-ES_tradnl"/>
        </w:rPr>
        <w:t>Resto del mundo – varios</w:t>
      </w:r>
    </w:p>
    <w:p w:rsidR="00185FCF" w:rsidRPr="00324685" w:rsidRDefault="00185FCF" w:rsidP="004B3809">
      <w:pPr>
        <w:numPr>
          <w:ilvl w:val="0"/>
          <w:numId w:val="14"/>
        </w:numPr>
        <w:spacing w:before="100" w:beforeAutospacing="1" w:line="276" w:lineRule="auto"/>
        <w:ind w:left="284" w:hanging="284"/>
        <w:rPr>
          <w:szCs w:val="24"/>
          <w:lang w:val="es-ES_tradnl"/>
        </w:rPr>
      </w:pPr>
      <w:r w:rsidRPr="00A13236">
        <w:rPr>
          <w:b/>
          <w:szCs w:val="24"/>
        </w:rPr>
        <w:t xml:space="preserve">Brasil publicará sus planes de emisiones para tres importantes sectores a mediados de junio: </w:t>
      </w:r>
      <w:r w:rsidRPr="00A13236">
        <w:rPr>
          <w:szCs w:val="24"/>
        </w:rPr>
        <w:t xml:space="preserve">los planes para limitar </w:t>
      </w:r>
      <w:r w:rsidR="00232AE1">
        <w:rPr>
          <w:szCs w:val="24"/>
        </w:rPr>
        <w:t>las emisiones de GEI</w:t>
      </w:r>
      <w:r w:rsidRPr="00A13236">
        <w:rPr>
          <w:szCs w:val="24"/>
        </w:rPr>
        <w:t xml:space="preserve">. (AIE </w:t>
      </w:r>
      <w:proofErr w:type="spellStart"/>
      <w:r w:rsidRPr="00A13236">
        <w:rPr>
          <w:szCs w:val="24"/>
        </w:rPr>
        <w:t>news</w:t>
      </w:r>
      <w:proofErr w:type="spellEnd"/>
      <w:r w:rsidRPr="00A13236">
        <w:rPr>
          <w:szCs w:val="24"/>
        </w:rPr>
        <w:t xml:space="preserve"> 01.06)</w:t>
      </w:r>
    </w:p>
    <w:p w:rsidR="00185FCF" w:rsidRPr="00A13236" w:rsidRDefault="00185FCF" w:rsidP="004B3809">
      <w:pPr>
        <w:numPr>
          <w:ilvl w:val="0"/>
          <w:numId w:val="14"/>
        </w:numPr>
        <w:spacing w:before="100" w:beforeAutospacing="1" w:line="276" w:lineRule="auto"/>
        <w:ind w:left="284" w:hanging="284"/>
        <w:rPr>
          <w:szCs w:val="24"/>
          <w:lang w:val="es-ES_tradnl"/>
        </w:rPr>
      </w:pPr>
      <w:r>
        <w:rPr>
          <w:b/>
          <w:szCs w:val="24"/>
        </w:rPr>
        <w:t xml:space="preserve">India sacará a subasta la licencia de parques de eólica offshore, probablemente en los estados de Goa, Kerala y </w:t>
      </w:r>
      <w:proofErr w:type="spellStart"/>
      <w:r>
        <w:rPr>
          <w:b/>
          <w:szCs w:val="24"/>
        </w:rPr>
        <w:t>Karnataka</w:t>
      </w:r>
      <w:proofErr w:type="spellEnd"/>
      <w:r>
        <w:rPr>
          <w:b/>
          <w:szCs w:val="24"/>
        </w:rPr>
        <w:t>:</w:t>
      </w:r>
      <w:r>
        <w:rPr>
          <w:szCs w:val="24"/>
          <w:lang w:val="es-ES_tradnl"/>
        </w:rPr>
        <w:t xml:space="preserve"> India instaló 2.827</w:t>
      </w:r>
      <w:r w:rsidR="005A0258">
        <w:rPr>
          <w:szCs w:val="24"/>
          <w:lang w:val="es-ES_tradnl"/>
        </w:rPr>
        <w:t xml:space="preserve"> </w:t>
      </w:r>
      <w:r>
        <w:rPr>
          <w:szCs w:val="24"/>
          <w:lang w:val="es-ES_tradnl"/>
        </w:rPr>
        <w:t>MW de eólica en 2011 alcanzando un total de 13</w:t>
      </w:r>
      <w:r w:rsidR="005A0258">
        <w:rPr>
          <w:szCs w:val="24"/>
          <w:lang w:val="es-ES_tradnl"/>
        </w:rPr>
        <w:t xml:space="preserve"> </w:t>
      </w:r>
      <w:r>
        <w:rPr>
          <w:szCs w:val="24"/>
          <w:lang w:val="es-ES_tradnl"/>
        </w:rPr>
        <w:t>GW de capacidad instalada. Se esperan instalar 2,5-3,2</w:t>
      </w:r>
      <w:r w:rsidR="005A0258">
        <w:rPr>
          <w:szCs w:val="24"/>
          <w:lang w:val="es-ES_tradnl"/>
        </w:rPr>
        <w:t xml:space="preserve"> </w:t>
      </w:r>
      <w:r>
        <w:rPr>
          <w:szCs w:val="24"/>
          <w:lang w:val="es-ES_tradnl"/>
        </w:rPr>
        <w:t>GW en 2012. Estimaciones afirman que para 2020 podría haber 65</w:t>
      </w:r>
      <w:r w:rsidR="005A0258">
        <w:rPr>
          <w:szCs w:val="24"/>
          <w:lang w:val="es-ES_tradnl"/>
        </w:rPr>
        <w:t xml:space="preserve"> </w:t>
      </w:r>
      <w:r>
        <w:rPr>
          <w:szCs w:val="24"/>
          <w:lang w:val="es-ES_tradnl"/>
        </w:rPr>
        <w:t>GW de eólica y 160</w:t>
      </w:r>
      <w:r w:rsidR="005A0258">
        <w:rPr>
          <w:szCs w:val="24"/>
          <w:lang w:val="es-ES_tradnl"/>
        </w:rPr>
        <w:t xml:space="preserve"> </w:t>
      </w:r>
      <w:r>
        <w:rPr>
          <w:szCs w:val="24"/>
          <w:lang w:val="es-ES_tradnl"/>
        </w:rPr>
        <w:t xml:space="preserve">GW para 2030 pese a que los costes de la generación con eólica son un 60-70% superior a los del carbón. (REM </w:t>
      </w:r>
      <w:proofErr w:type="spellStart"/>
      <w:r>
        <w:rPr>
          <w:szCs w:val="24"/>
          <w:lang w:val="es-ES_tradnl"/>
        </w:rPr>
        <w:t>week</w:t>
      </w:r>
      <w:proofErr w:type="spellEnd"/>
      <w:r>
        <w:rPr>
          <w:szCs w:val="24"/>
          <w:lang w:val="es-ES_tradnl"/>
        </w:rPr>
        <w:t xml:space="preserve"> 22) </w:t>
      </w:r>
    </w:p>
    <w:p w:rsidR="00185FCF" w:rsidRDefault="00185FCF" w:rsidP="004B3809">
      <w:pPr>
        <w:pStyle w:val="Prrafodelista"/>
        <w:numPr>
          <w:ilvl w:val="0"/>
          <w:numId w:val="14"/>
        </w:numPr>
        <w:spacing w:before="100" w:beforeAutospacing="1" w:line="276" w:lineRule="auto"/>
        <w:ind w:left="284" w:hanging="284"/>
        <w:contextualSpacing/>
        <w:rPr>
          <w:szCs w:val="24"/>
        </w:rPr>
      </w:pPr>
      <w:r w:rsidRPr="003931E2">
        <w:rPr>
          <w:b/>
          <w:szCs w:val="24"/>
        </w:rPr>
        <w:t xml:space="preserve">El gobierno ucraniano invertirá </w:t>
      </w:r>
      <w:r>
        <w:rPr>
          <w:b/>
          <w:szCs w:val="24"/>
        </w:rPr>
        <w:t xml:space="preserve">en 2012 </w:t>
      </w:r>
      <w:r w:rsidRPr="003931E2">
        <w:rPr>
          <w:b/>
          <w:szCs w:val="24"/>
        </w:rPr>
        <w:t xml:space="preserve">cerca de 1.000 </w:t>
      </w:r>
      <w:proofErr w:type="spellStart"/>
      <w:r>
        <w:rPr>
          <w:b/>
          <w:szCs w:val="24"/>
        </w:rPr>
        <w:t>M</w:t>
      </w:r>
      <w:r w:rsidRPr="003931E2">
        <w:rPr>
          <w:b/>
          <w:szCs w:val="24"/>
        </w:rPr>
        <w:t>ill</w:t>
      </w:r>
      <w:proofErr w:type="spellEnd"/>
      <w:r>
        <w:rPr>
          <w:b/>
          <w:szCs w:val="24"/>
        </w:rPr>
        <w:t>.</w:t>
      </w:r>
      <w:r w:rsidRPr="003931E2">
        <w:rPr>
          <w:b/>
          <w:szCs w:val="24"/>
        </w:rPr>
        <w:t xml:space="preserve"> EUR en renovables </w:t>
      </w:r>
      <w:r w:rsidRPr="009D7823">
        <w:rPr>
          <w:szCs w:val="24"/>
        </w:rPr>
        <w:t xml:space="preserve">(solar y eólica). En </w:t>
      </w:r>
      <w:r>
        <w:rPr>
          <w:szCs w:val="24"/>
        </w:rPr>
        <w:t>2011 se pusieron en operación 257</w:t>
      </w:r>
      <w:r w:rsidR="005A0258">
        <w:rPr>
          <w:szCs w:val="24"/>
        </w:rPr>
        <w:t xml:space="preserve"> </w:t>
      </w:r>
      <w:r>
        <w:rPr>
          <w:szCs w:val="24"/>
        </w:rPr>
        <w:t>MW renovables y para finales de 2012 se espera una capacidad instalada total de 1.000</w:t>
      </w:r>
      <w:r w:rsidR="005A0258">
        <w:rPr>
          <w:szCs w:val="24"/>
        </w:rPr>
        <w:t xml:space="preserve"> </w:t>
      </w:r>
      <w:r>
        <w:rPr>
          <w:szCs w:val="24"/>
        </w:rPr>
        <w:t>MW. Ucrania cuenta con 16 centrales hidráulicas, 11 parques eólicos, 18 plantas solares y 2 centrales de bioenergía, pero la generación con renovables no llega al 1%, aunque se ha fijado un objetivo del 19% para 2030. (</w:t>
      </w:r>
      <w:proofErr w:type="spellStart"/>
      <w:r>
        <w:rPr>
          <w:szCs w:val="24"/>
        </w:rPr>
        <w:t>Energo</w:t>
      </w:r>
      <w:proofErr w:type="spellEnd"/>
      <w:r>
        <w:rPr>
          <w:szCs w:val="24"/>
        </w:rPr>
        <w:t xml:space="preserve"> </w:t>
      </w:r>
      <w:proofErr w:type="spellStart"/>
      <w:r>
        <w:rPr>
          <w:szCs w:val="24"/>
        </w:rPr>
        <w:t>week</w:t>
      </w:r>
      <w:proofErr w:type="spellEnd"/>
      <w:r>
        <w:rPr>
          <w:szCs w:val="24"/>
        </w:rPr>
        <w:t xml:space="preserve"> 22)</w:t>
      </w:r>
    </w:p>
    <w:p w:rsidR="00185FCF" w:rsidRPr="007072F6" w:rsidRDefault="00185FCF" w:rsidP="004B3809">
      <w:pPr>
        <w:pStyle w:val="Prrafodelista"/>
        <w:numPr>
          <w:ilvl w:val="0"/>
          <w:numId w:val="14"/>
        </w:numPr>
        <w:spacing w:before="100" w:beforeAutospacing="1" w:line="276" w:lineRule="auto"/>
        <w:ind w:left="284" w:hanging="284"/>
        <w:contextualSpacing/>
        <w:rPr>
          <w:szCs w:val="24"/>
        </w:rPr>
      </w:pPr>
      <w:r>
        <w:rPr>
          <w:b/>
          <w:szCs w:val="24"/>
        </w:rPr>
        <w:t xml:space="preserve">Australia comenzará a aplicar la tasa al carbono el 1 de julio </w:t>
      </w:r>
      <w:r w:rsidRPr="00514D0B">
        <w:rPr>
          <w:szCs w:val="24"/>
        </w:rPr>
        <w:t xml:space="preserve">aunque a la mitad de las empresas que tenía previsto, </w:t>
      </w:r>
      <w:r>
        <w:rPr>
          <w:szCs w:val="24"/>
        </w:rPr>
        <w:t xml:space="preserve">para </w:t>
      </w:r>
      <w:r w:rsidRPr="00514D0B">
        <w:rPr>
          <w:szCs w:val="24"/>
        </w:rPr>
        <w:t>limit</w:t>
      </w:r>
      <w:r>
        <w:rPr>
          <w:szCs w:val="24"/>
        </w:rPr>
        <w:t>ar</w:t>
      </w:r>
      <w:r w:rsidRPr="00514D0B">
        <w:rPr>
          <w:szCs w:val="24"/>
        </w:rPr>
        <w:t xml:space="preserve"> así el impacto económico de la misma.</w:t>
      </w:r>
      <w:r>
        <w:rPr>
          <w:szCs w:val="24"/>
        </w:rPr>
        <w:t xml:space="preserve"> El regulador </w:t>
      </w:r>
      <w:r w:rsidRPr="00514D0B">
        <w:rPr>
          <w:szCs w:val="24"/>
        </w:rPr>
        <w:t>impondrá la tasa de 23 AUD/ton a 294 empresas que incluyen eléctricas, mineras y del acero</w:t>
      </w:r>
      <w:r>
        <w:rPr>
          <w:szCs w:val="24"/>
        </w:rPr>
        <w:t>,</w:t>
      </w:r>
      <w:r w:rsidRPr="00514D0B">
        <w:rPr>
          <w:szCs w:val="24"/>
        </w:rPr>
        <w:t xml:space="preserve"> que son las mayores emisoras.</w:t>
      </w:r>
      <w:r>
        <w:rPr>
          <w:szCs w:val="24"/>
        </w:rPr>
        <w:t xml:space="preserve"> </w:t>
      </w:r>
      <w:r w:rsidRPr="007072F6">
        <w:rPr>
          <w:szCs w:val="24"/>
        </w:rPr>
        <w:t>Esta tasa se fij</w:t>
      </w:r>
      <w:r w:rsidR="005A0258">
        <w:rPr>
          <w:szCs w:val="24"/>
        </w:rPr>
        <w:t>ará hasta 2015 que será</w:t>
      </w:r>
      <w:r w:rsidRPr="007072F6">
        <w:rPr>
          <w:szCs w:val="24"/>
        </w:rPr>
        <w:t xml:space="preserve"> cuando se introduzca un sistema basado en e</w:t>
      </w:r>
      <w:r>
        <w:rPr>
          <w:szCs w:val="24"/>
        </w:rPr>
        <w:t>l</w:t>
      </w:r>
      <w:r w:rsidRPr="007072F6">
        <w:rPr>
          <w:szCs w:val="24"/>
        </w:rPr>
        <w:t xml:space="preserve"> m</w:t>
      </w:r>
      <w:r>
        <w:rPr>
          <w:szCs w:val="24"/>
        </w:rPr>
        <w:t>e</w:t>
      </w:r>
      <w:r w:rsidRPr="007072F6">
        <w:rPr>
          <w:szCs w:val="24"/>
        </w:rPr>
        <w:t>rcado.</w:t>
      </w:r>
      <w:r>
        <w:rPr>
          <w:szCs w:val="24"/>
        </w:rPr>
        <w:t xml:space="preserve"> </w:t>
      </w:r>
      <w:r w:rsidRPr="007072F6">
        <w:rPr>
          <w:szCs w:val="24"/>
        </w:rPr>
        <w:t>(</w:t>
      </w:r>
      <w:proofErr w:type="spellStart"/>
      <w:r w:rsidRPr="007072F6">
        <w:rPr>
          <w:szCs w:val="24"/>
        </w:rPr>
        <w:t>EECCnews</w:t>
      </w:r>
      <w:proofErr w:type="spellEnd"/>
      <w:r w:rsidRPr="007072F6">
        <w:rPr>
          <w:szCs w:val="24"/>
        </w:rPr>
        <w:t xml:space="preserve"> 25.06)</w:t>
      </w:r>
    </w:p>
    <w:p w:rsidR="00185FCF" w:rsidRPr="00514D0B" w:rsidRDefault="00185FCF" w:rsidP="004B3809">
      <w:pPr>
        <w:pStyle w:val="Prrafodelista"/>
        <w:numPr>
          <w:ilvl w:val="0"/>
          <w:numId w:val="14"/>
        </w:numPr>
        <w:spacing w:before="100" w:beforeAutospacing="1" w:line="276" w:lineRule="auto"/>
        <w:ind w:left="284" w:hanging="284"/>
        <w:contextualSpacing/>
        <w:rPr>
          <w:szCs w:val="24"/>
        </w:rPr>
      </w:pPr>
      <w:r>
        <w:rPr>
          <w:b/>
          <w:szCs w:val="24"/>
        </w:rPr>
        <w:t xml:space="preserve">Japón aprueba las FIT para el 1 de julio, </w:t>
      </w:r>
      <w:r w:rsidRPr="008554D8">
        <w:rPr>
          <w:szCs w:val="24"/>
        </w:rPr>
        <w:t>con una remuneración de 23,1</w:t>
      </w:r>
      <w:r w:rsidR="005A0258">
        <w:rPr>
          <w:szCs w:val="24"/>
        </w:rPr>
        <w:t xml:space="preserve"> </w:t>
      </w:r>
      <w:r w:rsidRPr="008554D8">
        <w:rPr>
          <w:szCs w:val="24"/>
        </w:rPr>
        <w:t>yen/</w:t>
      </w:r>
      <w:proofErr w:type="spellStart"/>
      <w:r w:rsidRPr="008554D8">
        <w:rPr>
          <w:szCs w:val="24"/>
        </w:rPr>
        <w:t>kWh</w:t>
      </w:r>
      <w:proofErr w:type="spellEnd"/>
      <w:r>
        <w:rPr>
          <w:szCs w:val="24"/>
        </w:rPr>
        <w:t xml:space="preserve"> (0,23EUR)</w:t>
      </w:r>
      <w:r w:rsidRPr="008554D8">
        <w:rPr>
          <w:szCs w:val="24"/>
        </w:rPr>
        <w:t xml:space="preserve"> para la eólica y de 42 yen/</w:t>
      </w:r>
      <w:proofErr w:type="spellStart"/>
      <w:r w:rsidRPr="008554D8">
        <w:rPr>
          <w:szCs w:val="24"/>
        </w:rPr>
        <w:t>kWh</w:t>
      </w:r>
      <w:proofErr w:type="spellEnd"/>
      <w:r w:rsidRPr="008554D8">
        <w:rPr>
          <w:szCs w:val="24"/>
        </w:rPr>
        <w:t xml:space="preserve"> </w:t>
      </w:r>
      <w:r>
        <w:rPr>
          <w:szCs w:val="24"/>
        </w:rPr>
        <w:t xml:space="preserve">(0,42EUR) </w:t>
      </w:r>
      <w:r w:rsidRPr="008554D8">
        <w:rPr>
          <w:szCs w:val="24"/>
        </w:rPr>
        <w:t>para la solar en un intento de atraer inversiones. El esquema contempla la obligación para los suministradores de adquirir electricidad de renovables a un determinado precio durante 20 años. (Reuters 18.06)</w:t>
      </w:r>
    </w:p>
    <w:p w:rsidR="00185FCF" w:rsidRPr="00BF6F41" w:rsidRDefault="00185FCF" w:rsidP="00A95AE0">
      <w:pPr>
        <w:pStyle w:val="Ttulo2"/>
      </w:pPr>
      <w:r>
        <w:t>Dará que hablar</w:t>
      </w:r>
    </w:p>
    <w:p w:rsidR="00C514EA" w:rsidRPr="00C514EA" w:rsidRDefault="00C514EA" w:rsidP="00C514EA">
      <w:pPr>
        <w:spacing w:before="100" w:beforeAutospacing="1" w:line="276" w:lineRule="auto"/>
        <w:contextualSpacing/>
        <w:rPr>
          <w:szCs w:val="24"/>
        </w:rPr>
      </w:pPr>
      <w:proofErr w:type="spellStart"/>
      <w:r w:rsidRPr="00C514EA">
        <w:rPr>
          <w:b/>
          <w:szCs w:val="24"/>
        </w:rPr>
        <w:t>Hollande</w:t>
      </w:r>
      <w:proofErr w:type="spellEnd"/>
      <w:r w:rsidRPr="00C514EA">
        <w:rPr>
          <w:b/>
          <w:szCs w:val="24"/>
        </w:rPr>
        <w:t>, ganador de las elecciones en Francia, afirma que no realizará la reforma del mercado exigida por la Ley NOME:</w:t>
      </w:r>
      <w:r w:rsidRPr="00C514EA">
        <w:rPr>
          <w:szCs w:val="24"/>
        </w:rPr>
        <w:t xml:space="preserve"> durante la campaña, </w:t>
      </w:r>
      <w:proofErr w:type="spellStart"/>
      <w:r w:rsidRPr="00C514EA">
        <w:rPr>
          <w:szCs w:val="24"/>
        </w:rPr>
        <w:t>Hollande</w:t>
      </w:r>
      <w:proofErr w:type="spellEnd"/>
      <w:r w:rsidRPr="00C514EA">
        <w:rPr>
          <w:szCs w:val="24"/>
        </w:rPr>
        <w:t xml:space="preserve"> afirmaba que si llegaba a la presidencia, no seguiría los pasos de la reforma esbozada desde la Ley NOME. Consideraba que la introducción de un mercado de capacidad solo serviría para impulsar la especulación y aumentar los precios. Los socialistas se apoyan en un informe elaborado por la Autoridad de la Competencia que afirmaba que el sistema provocaría una subida en los precios que repercutiría sobre los consumidores en unos 200</w:t>
      </w:r>
      <w:r>
        <w:rPr>
          <w:szCs w:val="24"/>
        </w:rPr>
        <w:t xml:space="preserve"> </w:t>
      </w:r>
      <w:r w:rsidRPr="00C514EA">
        <w:rPr>
          <w:szCs w:val="24"/>
        </w:rPr>
        <w:t xml:space="preserve">Mill.EUR/año. </w:t>
      </w:r>
      <w:proofErr w:type="spellStart"/>
      <w:r w:rsidRPr="00C514EA">
        <w:rPr>
          <w:szCs w:val="24"/>
        </w:rPr>
        <w:t>Hollande</w:t>
      </w:r>
      <w:proofErr w:type="spellEnd"/>
      <w:r w:rsidRPr="00C514EA">
        <w:rPr>
          <w:szCs w:val="24"/>
        </w:rPr>
        <w:t xml:space="preserve"> quiere sustituir el marco NOME por una “tarifa progresiva” la cual impulsará el consumo responsable de energía. También</w:t>
      </w:r>
      <w:r>
        <w:rPr>
          <w:szCs w:val="24"/>
        </w:rPr>
        <w:t>,</w:t>
      </w:r>
      <w:r w:rsidRPr="00C514EA">
        <w:rPr>
          <w:szCs w:val="24"/>
        </w:rPr>
        <w:t xml:space="preserve"> </w:t>
      </w:r>
      <w:proofErr w:type="spellStart"/>
      <w:r w:rsidRPr="00C514EA">
        <w:rPr>
          <w:szCs w:val="24"/>
        </w:rPr>
        <w:t>Hollande</w:t>
      </w:r>
      <w:proofErr w:type="spellEnd"/>
      <w:r w:rsidRPr="00C514EA">
        <w:rPr>
          <w:szCs w:val="24"/>
        </w:rPr>
        <w:t xml:space="preserve"> quería reducir el porcentaje de energía nuclear del 75 al 50% </w:t>
      </w:r>
      <w:r w:rsidRPr="00C514EA">
        <w:rPr>
          <w:szCs w:val="24"/>
        </w:rPr>
        <w:lastRenderedPageBreak/>
        <w:t xml:space="preserve">para 2025 y sustituir esa generación con renovables, por lo que comprometía a cerrar los reactores de mayor antigüedad como el de </w:t>
      </w:r>
      <w:proofErr w:type="spellStart"/>
      <w:r w:rsidRPr="00C514EA">
        <w:rPr>
          <w:szCs w:val="24"/>
        </w:rPr>
        <w:t>Fessenheim</w:t>
      </w:r>
      <w:proofErr w:type="spellEnd"/>
      <w:r w:rsidRPr="00C514EA">
        <w:rPr>
          <w:szCs w:val="24"/>
        </w:rPr>
        <w:t xml:space="preserve">, en la frontera con Alemania. (EUE 04.05) </w:t>
      </w:r>
    </w:p>
    <w:p w:rsidR="00C514EA" w:rsidRDefault="00C514EA" w:rsidP="00C514EA">
      <w:pPr>
        <w:spacing w:before="100" w:beforeAutospacing="1" w:line="276" w:lineRule="auto"/>
        <w:contextualSpacing/>
        <w:rPr>
          <w:szCs w:val="24"/>
        </w:rPr>
      </w:pPr>
    </w:p>
    <w:p w:rsidR="00C514EA" w:rsidRPr="00C514EA" w:rsidRDefault="00C514EA" w:rsidP="00E34345">
      <w:pPr>
        <w:spacing w:before="100" w:beforeAutospacing="1" w:line="276" w:lineRule="auto"/>
        <w:contextualSpacing/>
        <w:rPr>
          <w:szCs w:val="24"/>
        </w:rPr>
      </w:pPr>
      <w:r w:rsidRPr="00C514EA">
        <w:rPr>
          <w:b/>
          <w:szCs w:val="24"/>
        </w:rPr>
        <w:t xml:space="preserve">La PUC de California introduce cambios en la norma sobre balance neto (net </w:t>
      </w:r>
      <w:proofErr w:type="spellStart"/>
      <w:r w:rsidRPr="00C514EA">
        <w:rPr>
          <w:b/>
          <w:szCs w:val="24"/>
        </w:rPr>
        <w:t>metering</w:t>
      </w:r>
      <w:proofErr w:type="spellEnd"/>
      <w:r w:rsidRPr="00C514EA">
        <w:rPr>
          <w:b/>
          <w:szCs w:val="24"/>
        </w:rPr>
        <w:t>),</w:t>
      </w:r>
      <w:r w:rsidRPr="00C514EA">
        <w:rPr>
          <w:szCs w:val="24"/>
        </w:rPr>
        <w:t xml:space="preserve"> la cual duplicará el número de empresas y hogares que tendrán acceso al mismo. El net </w:t>
      </w:r>
      <w:proofErr w:type="spellStart"/>
      <w:r w:rsidRPr="00C514EA">
        <w:rPr>
          <w:szCs w:val="24"/>
        </w:rPr>
        <w:t>metering</w:t>
      </w:r>
      <w:proofErr w:type="spellEnd"/>
      <w:r w:rsidRPr="00C514EA">
        <w:rPr>
          <w:szCs w:val="24"/>
        </w:rPr>
        <w:t xml:space="preserve"> sirve para que los propietarios de pequeñas instalaciones solares, eólicas, de biomasa o de pilas de combustible, reciban créditos financieros por el exceso de electricidad que vierten en la red, de modo que reducen sus facturas energéticas. La Ley original establecía un límite en el número de consumidores que podían cualificarse para el net </w:t>
      </w:r>
      <w:proofErr w:type="spellStart"/>
      <w:r w:rsidRPr="00C514EA">
        <w:rPr>
          <w:szCs w:val="24"/>
        </w:rPr>
        <w:t>metering</w:t>
      </w:r>
      <w:proofErr w:type="spellEnd"/>
      <w:r w:rsidRPr="00C514EA">
        <w:rPr>
          <w:szCs w:val="24"/>
        </w:rPr>
        <w:t xml:space="preserve"> y que era el 5% de la demanda pico </w:t>
      </w:r>
      <w:proofErr w:type="gramStart"/>
      <w:r w:rsidRPr="00C514EA">
        <w:rPr>
          <w:szCs w:val="24"/>
        </w:rPr>
        <w:t>agregada</w:t>
      </w:r>
      <w:proofErr w:type="gramEnd"/>
      <w:r w:rsidRPr="00C514EA">
        <w:rPr>
          <w:szCs w:val="24"/>
        </w:rPr>
        <w:t xml:space="preserve"> de los clientes de la compañía. La nueva norma cambia el método de cálculo de ese límite de modo que se duplica el número de instalaciones que se pueden acoger al mismo. (EPD 25.05, PUC Cal) </w:t>
      </w:r>
    </w:p>
    <w:p w:rsidR="00C514EA" w:rsidRDefault="00C514EA" w:rsidP="00C514EA">
      <w:pPr>
        <w:spacing w:before="100" w:beforeAutospacing="1" w:line="276" w:lineRule="auto"/>
        <w:contextualSpacing/>
        <w:rPr>
          <w:szCs w:val="24"/>
        </w:rPr>
      </w:pPr>
    </w:p>
    <w:p w:rsidR="00C514EA" w:rsidRPr="00C514EA" w:rsidRDefault="00C514EA" w:rsidP="00C514EA">
      <w:pPr>
        <w:spacing w:before="100" w:beforeAutospacing="1" w:line="276" w:lineRule="auto"/>
        <w:contextualSpacing/>
        <w:rPr>
          <w:szCs w:val="24"/>
        </w:rPr>
      </w:pPr>
      <w:r w:rsidRPr="00C514EA">
        <w:rPr>
          <w:b/>
          <w:szCs w:val="24"/>
        </w:rPr>
        <w:t>La UE da el visto bueno a las reformas en los incentivos a las renovables en Italia,</w:t>
      </w:r>
      <w:r w:rsidRPr="00C514EA">
        <w:rPr>
          <w:szCs w:val="24"/>
        </w:rPr>
        <w:t xml:space="preserve"> pero les pide </w:t>
      </w:r>
      <w:r w:rsidRPr="00C514EA">
        <w:rPr>
          <w:b/>
          <w:szCs w:val="24"/>
        </w:rPr>
        <w:t>que simplifique los subsidios a las renovables, al considerar que existen excesivas barreras administrativas</w:t>
      </w:r>
      <w:r w:rsidRPr="00C514EA">
        <w:rPr>
          <w:szCs w:val="24"/>
        </w:rPr>
        <w:t xml:space="preserve">. (REM </w:t>
      </w:r>
      <w:proofErr w:type="spellStart"/>
      <w:r w:rsidRPr="00C514EA">
        <w:rPr>
          <w:szCs w:val="24"/>
        </w:rPr>
        <w:t>week</w:t>
      </w:r>
      <w:proofErr w:type="spellEnd"/>
      <w:r w:rsidRPr="00C514EA">
        <w:rPr>
          <w:szCs w:val="24"/>
        </w:rPr>
        <w:t xml:space="preserve"> 22). Tras el importante desarrollo eólico y sobre todo de FV, el gobierno italiano publicó un decreto que reduce los incentivos financieros a las renovables además de fijar un nuevo esquema de apoyo. Este esquema supone que las centrales renovables mayores de 5</w:t>
      </w:r>
      <w:r w:rsidR="00E61EA0">
        <w:rPr>
          <w:szCs w:val="24"/>
        </w:rPr>
        <w:t xml:space="preserve"> </w:t>
      </w:r>
      <w:r w:rsidRPr="00C514EA">
        <w:rPr>
          <w:szCs w:val="24"/>
        </w:rPr>
        <w:t>MW deben acudir a subastas mientras que las de menor capacidad deben inscribirse en un registro. Esto aumenta la incertidumbre y los trámites administrativos, por lo que la UE les ha pedido que simplifiquen el proceso. (EUE 15.06).</w:t>
      </w:r>
    </w:p>
    <w:p w:rsidR="00185FCF" w:rsidRPr="00BF6F41" w:rsidRDefault="00185FCF" w:rsidP="00A95AE0">
      <w:pPr>
        <w:pStyle w:val="Ttulo2"/>
      </w:pPr>
      <w:r>
        <w:t>Glosario</w:t>
      </w:r>
    </w:p>
    <w:p w:rsidR="00185FCF" w:rsidRDefault="00185FCF" w:rsidP="00A95AE0">
      <w:pPr>
        <w:spacing w:before="100" w:beforeAutospacing="1" w:after="100" w:afterAutospacing="1" w:line="276" w:lineRule="auto"/>
        <w:rPr>
          <w:lang w:val="es-ES_tradnl"/>
        </w:rPr>
      </w:pPr>
      <w:r>
        <w:rPr>
          <w:lang w:val="es-ES_tradnl"/>
        </w:rPr>
        <w:t>AIE: agencia internacional de la energía.</w:t>
      </w:r>
    </w:p>
    <w:p w:rsidR="00185FCF" w:rsidRDefault="00185FCF" w:rsidP="00A95AE0">
      <w:pPr>
        <w:spacing w:before="100" w:beforeAutospacing="1" w:after="100" w:afterAutospacing="1" w:line="276" w:lineRule="auto"/>
        <w:rPr>
          <w:lang w:val="es-ES_tradnl"/>
        </w:rPr>
      </w:pPr>
      <w:r>
        <w:rPr>
          <w:lang w:val="es-ES_tradnl"/>
        </w:rPr>
        <w:t>AUD: dólar australiano.</w:t>
      </w:r>
    </w:p>
    <w:p w:rsidR="00185FCF" w:rsidRPr="004450EB" w:rsidRDefault="00185FCF" w:rsidP="00A95AE0">
      <w:pPr>
        <w:spacing w:before="100" w:beforeAutospacing="1" w:after="100" w:afterAutospacing="1" w:line="276" w:lineRule="auto"/>
        <w:rPr>
          <w:lang w:val="es-ES_tradnl"/>
        </w:rPr>
      </w:pPr>
      <w:r w:rsidRPr="00185FCF">
        <w:rPr>
          <w:lang w:val="en-US"/>
        </w:rPr>
        <w:t xml:space="preserve">BDEW: </w:t>
      </w:r>
      <w:proofErr w:type="spellStart"/>
      <w:r w:rsidRPr="00185FCF">
        <w:rPr>
          <w:lang w:val="en-US"/>
        </w:rPr>
        <w:t>Bundesverband</w:t>
      </w:r>
      <w:proofErr w:type="spellEnd"/>
      <w:r w:rsidRPr="00185FCF">
        <w:rPr>
          <w:lang w:val="en-US"/>
        </w:rPr>
        <w:t xml:space="preserve"> </w:t>
      </w:r>
      <w:proofErr w:type="spellStart"/>
      <w:r w:rsidRPr="00185FCF">
        <w:rPr>
          <w:lang w:val="en-US"/>
        </w:rPr>
        <w:t>der</w:t>
      </w:r>
      <w:proofErr w:type="spellEnd"/>
      <w:r w:rsidRPr="00185FCF">
        <w:rPr>
          <w:lang w:val="en-US"/>
        </w:rPr>
        <w:t xml:space="preserve"> </w:t>
      </w:r>
      <w:proofErr w:type="spellStart"/>
      <w:r w:rsidRPr="00185FCF">
        <w:rPr>
          <w:lang w:val="en-US"/>
        </w:rPr>
        <w:t>Energie</w:t>
      </w:r>
      <w:proofErr w:type="spellEnd"/>
      <w:r w:rsidRPr="00185FCF">
        <w:rPr>
          <w:lang w:val="en-US"/>
        </w:rPr>
        <w:t xml:space="preserve">- und </w:t>
      </w:r>
      <w:proofErr w:type="spellStart"/>
      <w:r w:rsidRPr="00185FCF">
        <w:rPr>
          <w:lang w:val="en-US"/>
        </w:rPr>
        <w:t>Wasserwirtschaft</w:t>
      </w:r>
      <w:proofErr w:type="spellEnd"/>
      <w:r w:rsidRPr="00185FCF">
        <w:rPr>
          <w:lang w:val="en-US"/>
        </w:rPr>
        <w:t xml:space="preserve">. </w:t>
      </w:r>
      <w:proofErr w:type="spellStart"/>
      <w:r>
        <w:rPr>
          <w:lang w:val="es-ES_tradnl"/>
        </w:rPr>
        <w:t>Asociaci’on</w:t>
      </w:r>
      <w:proofErr w:type="spellEnd"/>
      <w:r>
        <w:rPr>
          <w:lang w:val="es-ES_tradnl"/>
        </w:rPr>
        <w:t xml:space="preserve"> de industria energética y de hidráulica alemana.</w:t>
      </w:r>
    </w:p>
    <w:p w:rsidR="00185FCF" w:rsidRDefault="00185FCF" w:rsidP="00A95AE0">
      <w:pPr>
        <w:spacing w:before="100" w:beforeAutospacing="1" w:after="100" w:afterAutospacing="1" w:line="276" w:lineRule="auto"/>
        <w:rPr>
          <w:lang w:val="es-ES_tradnl"/>
        </w:rPr>
      </w:pPr>
      <w:r>
        <w:rPr>
          <w:lang w:val="es-ES_tradnl"/>
        </w:rPr>
        <w:t xml:space="preserve">BNA: </w:t>
      </w:r>
      <w:proofErr w:type="spellStart"/>
      <w:r w:rsidRPr="005B72B3">
        <w:rPr>
          <w:lang w:val="es-ES_tradnl"/>
        </w:rPr>
        <w:t>Bundesnetzagentur</w:t>
      </w:r>
      <w:proofErr w:type="spellEnd"/>
      <w:r>
        <w:rPr>
          <w:lang w:val="es-ES_tradnl"/>
        </w:rPr>
        <w:t>, Regulador de redes alemán.</w:t>
      </w:r>
    </w:p>
    <w:p w:rsidR="00185FCF" w:rsidRPr="0047208E" w:rsidRDefault="00185FCF" w:rsidP="00A95AE0">
      <w:pPr>
        <w:spacing w:before="100" w:beforeAutospacing="1" w:after="100" w:afterAutospacing="1" w:line="276" w:lineRule="auto"/>
        <w:rPr>
          <w:lang w:val="es-ES_tradnl"/>
        </w:rPr>
      </w:pPr>
      <w:r w:rsidRPr="0047208E">
        <w:rPr>
          <w:lang w:val="es-ES_tradnl"/>
        </w:rPr>
        <w:t xml:space="preserve">BPA: </w:t>
      </w:r>
      <w:proofErr w:type="spellStart"/>
      <w:r w:rsidRPr="0047208E">
        <w:rPr>
          <w:lang w:val="es-ES_tradnl"/>
        </w:rPr>
        <w:t>Bonneville</w:t>
      </w:r>
      <w:proofErr w:type="spellEnd"/>
      <w:r w:rsidRPr="0047208E">
        <w:rPr>
          <w:lang w:val="es-ES_tradnl"/>
        </w:rPr>
        <w:t xml:space="preserve"> </w:t>
      </w:r>
      <w:proofErr w:type="spellStart"/>
      <w:r w:rsidRPr="0047208E">
        <w:rPr>
          <w:lang w:val="es-ES_tradnl"/>
        </w:rPr>
        <w:t>Power</w:t>
      </w:r>
      <w:proofErr w:type="spellEnd"/>
      <w:r w:rsidRPr="0047208E">
        <w:rPr>
          <w:lang w:val="es-ES_tradnl"/>
        </w:rPr>
        <w:t xml:space="preserve"> </w:t>
      </w:r>
      <w:proofErr w:type="spellStart"/>
      <w:r w:rsidRPr="0047208E">
        <w:rPr>
          <w:lang w:val="es-ES_tradnl"/>
        </w:rPr>
        <w:t>Administration</w:t>
      </w:r>
      <w:proofErr w:type="spellEnd"/>
      <w:r w:rsidRPr="0047208E">
        <w:rPr>
          <w:lang w:val="es-ES_tradnl"/>
        </w:rPr>
        <w:t xml:space="preserve">, Agencia federal que transporta y vende electricidad en ocho estados del oeste de EEUU: Washington, </w:t>
      </w:r>
      <w:proofErr w:type="spellStart"/>
      <w:r w:rsidRPr="0047208E">
        <w:rPr>
          <w:lang w:val="es-ES_tradnl"/>
        </w:rPr>
        <w:t>Oregon</w:t>
      </w:r>
      <w:proofErr w:type="spellEnd"/>
      <w:r w:rsidRPr="0047208E">
        <w:rPr>
          <w:lang w:val="es-ES_tradnl"/>
        </w:rPr>
        <w:t>, Idaho, Montana, Wyoming, Utah, Nevada, y California.</w:t>
      </w:r>
    </w:p>
    <w:p w:rsidR="00185FCF" w:rsidRDefault="00185FCF" w:rsidP="00A95AE0">
      <w:pPr>
        <w:spacing w:before="100" w:beforeAutospacing="1" w:after="100" w:afterAutospacing="1" w:line="276" w:lineRule="auto"/>
        <w:rPr>
          <w:lang w:val="en-US"/>
        </w:rPr>
      </w:pPr>
      <w:r w:rsidRPr="00FB6283">
        <w:rPr>
          <w:lang w:val="en-US"/>
        </w:rPr>
        <w:t>Cal ISO: California independent system operator</w:t>
      </w:r>
    </w:p>
    <w:p w:rsidR="00185FCF" w:rsidRPr="00FB6283" w:rsidRDefault="00185FCF" w:rsidP="00A95AE0">
      <w:pPr>
        <w:spacing w:before="100" w:beforeAutospacing="1" w:after="100" w:afterAutospacing="1" w:line="276" w:lineRule="auto"/>
        <w:rPr>
          <w:lang w:val="en-US"/>
        </w:rPr>
      </w:pPr>
      <w:r>
        <w:rPr>
          <w:lang w:val="en-US"/>
        </w:rPr>
        <w:t xml:space="preserve">CES: clean energy standard. </w:t>
      </w:r>
    </w:p>
    <w:p w:rsidR="00185FCF" w:rsidRPr="0047208E" w:rsidRDefault="00185FCF" w:rsidP="00A95AE0">
      <w:pPr>
        <w:spacing w:before="100" w:beforeAutospacing="1" w:after="100" w:afterAutospacing="1" w:line="276" w:lineRule="auto"/>
        <w:rPr>
          <w:lang w:val="es-ES_tradnl"/>
        </w:rPr>
      </w:pPr>
      <w:proofErr w:type="gramStart"/>
      <w:r>
        <w:rPr>
          <w:lang w:val="en-US"/>
        </w:rPr>
        <w:t xml:space="preserve">CCS: </w:t>
      </w:r>
      <w:r w:rsidRPr="00FB6283">
        <w:rPr>
          <w:lang w:val="en-US"/>
        </w:rPr>
        <w:t>Carbon capture and storage.</w:t>
      </w:r>
      <w:proofErr w:type="gramEnd"/>
      <w:r w:rsidRPr="00FB6283">
        <w:rPr>
          <w:lang w:val="en-US"/>
        </w:rPr>
        <w:t xml:space="preserve"> </w:t>
      </w:r>
      <w:r w:rsidRPr="0047208E">
        <w:rPr>
          <w:lang w:val="es-ES_tradnl"/>
        </w:rPr>
        <w:t>Captura y almacenamiento de carbono.</w:t>
      </w:r>
    </w:p>
    <w:p w:rsidR="00185FCF" w:rsidRDefault="00185FCF" w:rsidP="00A95AE0">
      <w:pPr>
        <w:spacing w:before="100" w:beforeAutospacing="1" w:after="100" w:afterAutospacing="1" w:line="276" w:lineRule="auto"/>
        <w:rPr>
          <w:lang w:val="en-US"/>
        </w:rPr>
      </w:pPr>
      <w:r w:rsidRPr="00FB6283">
        <w:rPr>
          <w:lang w:val="en-US"/>
        </w:rPr>
        <w:t xml:space="preserve">CE: </w:t>
      </w:r>
      <w:proofErr w:type="spellStart"/>
      <w:r w:rsidRPr="00FB6283">
        <w:rPr>
          <w:lang w:val="en-US"/>
        </w:rPr>
        <w:t>Comisión</w:t>
      </w:r>
      <w:proofErr w:type="spellEnd"/>
      <w:r w:rsidRPr="00FB6283">
        <w:rPr>
          <w:lang w:val="en-US"/>
        </w:rPr>
        <w:t xml:space="preserve"> </w:t>
      </w:r>
      <w:proofErr w:type="spellStart"/>
      <w:r w:rsidRPr="00FB6283">
        <w:rPr>
          <w:lang w:val="en-US"/>
        </w:rPr>
        <w:t>Europea</w:t>
      </w:r>
      <w:proofErr w:type="spellEnd"/>
      <w:r w:rsidRPr="00FB6283">
        <w:rPr>
          <w:lang w:val="en-US"/>
        </w:rPr>
        <w:t>.</w:t>
      </w:r>
    </w:p>
    <w:p w:rsidR="00185FCF" w:rsidRPr="006215B6" w:rsidRDefault="00185FCF" w:rsidP="00A95AE0">
      <w:pPr>
        <w:spacing w:before="100" w:beforeAutospacing="1" w:after="100" w:afterAutospacing="1" w:line="276" w:lineRule="auto"/>
      </w:pPr>
      <w:r>
        <w:rPr>
          <w:lang w:val="en-US"/>
        </w:rPr>
        <w:t xml:space="preserve">DECC: </w:t>
      </w:r>
      <w:r w:rsidRPr="005B72B3">
        <w:rPr>
          <w:lang w:val="en-US"/>
        </w:rPr>
        <w:t xml:space="preserve">Department of </w:t>
      </w:r>
      <w:r>
        <w:rPr>
          <w:lang w:val="en-US"/>
        </w:rPr>
        <w:t xml:space="preserve">Energy and Climate Change. </w:t>
      </w:r>
      <w:r w:rsidRPr="006215B6">
        <w:t xml:space="preserve">Regulador de electricidad de Gran </w:t>
      </w:r>
      <w:proofErr w:type="spellStart"/>
      <w:r w:rsidRPr="006215B6">
        <w:t>BRetaña</w:t>
      </w:r>
      <w:proofErr w:type="spellEnd"/>
      <w:r w:rsidRPr="006215B6">
        <w:t>.</w:t>
      </w:r>
    </w:p>
    <w:p w:rsidR="00185FCF" w:rsidRDefault="00185FCF" w:rsidP="00A95AE0">
      <w:pPr>
        <w:spacing w:before="100" w:beforeAutospacing="1" w:after="100" w:afterAutospacing="1" w:line="276" w:lineRule="auto"/>
        <w:rPr>
          <w:lang w:val="es-ES_tradnl"/>
        </w:rPr>
      </w:pPr>
      <w:r w:rsidRPr="0047208E">
        <w:rPr>
          <w:lang w:val="es-ES_tradnl"/>
        </w:rPr>
        <w:lastRenderedPageBreak/>
        <w:t>DO</w:t>
      </w:r>
      <w:r>
        <w:rPr>
          <w:lang w:val="es-ES_tradnl"/>
        </w:rPr>
        <w:t>U</w:t>
      </w:r>
      <w:r w:rsidRPr="0047208E">
        <w:rPr>
          <w:lang w:val="es-ES_tradnl"/>
        </w:rPr>
        <w:t>E: D</w:t>
      </w:r>
      <w:r>
        <w:rPr>
          <w:lang w:val="es-ES_tradnl"/>
        </w:rPr>
        <w:t xml:space="preserve">iario oficial de la </w:t>
      </w:r>
      <w:proofErr w:type="spellStart"/>
      <w:r>
        <w:rPr>
          <w:lang w:val="es-ES_tradnl"/>
        </w:rPr>
        <w:t>Union</w:t>
      </w:r>
      <w:proofErr w:type="spellEnd"/>
      <w:r>
        <w:rPr>
          <w:lang w:val="es-ES_tradnl"/>
        </w:rPr>
        <w:t xml:space="preserve"> Europea.</w:t>
      </w:r>
    </w:p>
    <w:p w:rsidR="00185FCF" w:rsidRDefault="00185FCF" w:rsidP="00A95AE0">
      <w:pPr>
        <w:spacing w:before="100" w:beforeAutospacing="1" w:after="100" w:afterAutospacing="1" w:line="276" w:lineRule="auto"/>
      </w:pPr>
      <w:r w:rsidRPr="00185FCF">
        <w:t xml:space="preserve">EIA: </w:t>
      </w:r>
      <w:proofErr w:type="spellStart"/>
      <w:r w:rsidRPr="00185FCF">
        <w:t>Energy</w:t>
      </w:r>
      <w:proofErr w:type="spellEnd"/>
      <w:r w:rsidRPr="00185FCF">
        <w:t xml:space="preserve"> </w:t>
      </w:r>
      <w:proofErr w:type="spellStart"/>
      <w:r w:rsidRPr="00185FCF">
        <w:t>Information</w:t>
      </w:r>
      <w:proofErr w:type="spellEnd"/>
      <w:r w:rsidRPr="00185FCF">
        <w:t xml:space="preserve"> </w:t>
      </w:r>
      <w:proofErr w:type="spellStart"/>
      <w:r w:rsidRPr="00185FCF">
        <w:t>Administration</w:t>
      </w:r>
      <w:proofErr w:type="spellEnd"/>
      <w:r w:rsidRPr="00185FCF">
        <w:t xml:space="preserve">. </w:t>
      </w:r>
      <w:proofErr w:type="spellStart"/>
      <w:r w:rsidRPr="004450EB">
        <w:t>Estadisticas</w:t>
      </w:r>
      <w:proofErr w:type="spellEnd"/>
      <w:r w:rsidRPr="004450EB">
        <w:t xml:space="preserve"> oficiales de </w:t>
      </w:r>
      <w:proofErr w:type="spellStart"/>
      <w:r w:rsidRPr="004450EB">
        <w:t>energia</w:t>
      </w:r>
      <w:proofErr w:type="spellEnd"/>
      <w:r w:rsidRPr="004450EB">
        <w:t xml:space="preserve"> del Gobier</w:t>
      </w:r>
      <w:r>
        <w:t>n</w:t>
      </w:r>
      <w:r w:rsidRPr="004450EB">
        <w:t>o estadounidense.</w:t>
      </w:r>
    </w:p>
    <w:p w:rsidR="00185FCF" w:rsidRPr="004450EB" w:rsidRDefault="00185FCF" w:rsidP="00A95AE0">
      <w:pPr>
        <w:spacing w:before="100" w:beforeAutospacing="1" w:after="100" w:afterAutospacing="1" w:line="276" w:lineRule="auto"/>
      </w:pPr>
      <w:r>
        <w:t>EEMM: estados miembros de la Unión Europea.</w:t>
      </w:r>
    </w:p>
    <w:p w:rsidR="00185FCF" w:rsidRPr="0047208E" w:rsidRDefault="00185FCF" w:rsidP="00A95AE0">
      <w:pPr>
        <w:spacing w:before="100" w:beforeAutospacing="1" w:after="100" w:afterAutospacing="1" w:line="276" w:lineRule="auto"/>
        <w:rPr>
          <w:lang w:val="es-ES_tradnl"/>
        </w:rPr>
      </w:pPr>
      <w:r w:rsidRPr="0047208E">
        <w:rPr>
          <w:lang w:val="es-ES_tradnl"/>
        </w:rPr>
        <w:t>EEUU: Estados Unidos de América</w:t>
      </w:r>
    </w:p>
    <w:p w:rsidR="00185FCF" w:rsidRPr="0047208E" w:rsidRDefault="00185FCF" w:rsidP="00A95AE0">
      <w:pPr>
        <w:spacing w:before="100" w:beforeAutospacing="1" w:after="100" w:afterAutospacing="1" w:line="276" w:lineRule="auto"/>
        <w:rPr>
          <w:lang w:val="es-ES_tradnl"/>
        </w:rPr>
      </w:pPr>
      <w:r w:rsidRPr="00185FCF">
        <w:t xml:space="preserve">ERCOT: Electric </w:t>
      </w:r>
      <w:proofErr w:type="spellStart"/>
      <w:r w:rsidRPr="00185FCF">
        <w:t>Reliability</w:t>
      </w:r>
      <w:proofErr w:type="spellEnd"/>
      <w:r w:rsidRPr="00185FCF">
        <w:t xml:space="preserve"> Council of Texas. </w:t>
      </w:r>
      <w:r w:rsidRPr="0047208E">
        <w:rPr>
          <w:lang w:val="es-ES_tradnl"/>
        </w:rPr>
        <w:t>Operador de la red de gran parte de Texas.</w:t>
      </w:r>
    </w:p>
    <w:p w:rsidR="00185FCF" w:rsidRPr="00FB6283" w:rsidRDefault="00185FCF" w:rsidP="00A95AE0">
      <w:pPr>
        <w:spacing w:before="100" w:beforeAutospacing="1" w:after="100" w:afterAutospacing="1" w:line="276" w:lineRule="auto"/>
        <w:rPr>
          <w:lang w:val="en-US"/>
        </w:rPr>
      </w:pPr>
      <w:r w:rsidRPr="00FB6283">
        <w:rPr>
          <w:lang w:val="en-US"/>
        </w:rPr>
        <w:t xml:space="preserve">EUE: EU Energy, </w:t>
      </w:r>
      <w:proofErr w:type="spellStart"/>
      <w:r w:rsidRPr="00FB6283">
        <w:rPr>
          <w:lang w:val="en-US"/>
        </w:rPr>
        <w:t>Platts</w:t>
      </w:r>
      <w:proofErr w:type="spellEnd"/>
      <w:r w:rsidRPr="00FB6283">
        <w:rPr>
          <w:lang w:val="en-US"/>
        </w:rPr>
        <w:t>.</w:t>
      </w:r>
      <w:r>
        <w:rPr>
          <w:lang w:val="en-US"/>
        </w:rPr>
        <w:t xml:space="preserve"> / </w:t>
      </w:r>
      <w:r w:rsidRPr="00FB6283">
        <w:rPr>
          <w:lang w:val="en-US"/>
        </w:rPr>
        <w:t xml:space="preserve">EPD: Electric power daily, </w:t>
      </w:r>
      <w:proofErr w:type="spellStart"/>
      <w:r w:rsidRPr="00FB6283">
        <w:rPr>
          <w:lang w:val="en-US"/>
        </w:rPr>
        <w:t>Platts</w:t>
      </w:r>
      <w:proofErr w:type="spellEnd"/>
      <w:r>
        <w:rPr>
          <w:lang w:val="en-US"/>
        </w:rPr>
        <w:t xml:space="preserve"> / </w:t>
      </w:r>
      <w:r w:rsidRPr="00FB6283">
        <w:rPr>
          <w:lang w:val="en-US"/>
        </w:rPr>
        <w:t>EUW: electric utility week.</w:t>
      </w:r>
    </w:p>
    <w:p w:rsidR="00185FCF" w:rsidRPr="00FB6283" w:rsidRDefault="00185FCF" w:rsidP="00A95AE0">
      <w:pPr>
        <w:spacing w:before="100" w:beforeAutospacing="1" w:after="100" w:afterAutospacing="1" w:line="276" w:lineRule="auto"/>
        <w:rPr>
          <w:lang w:val="en-US"/>
        </w:rPr>
      </w:pPr>
      <w:r w:rsidRPr="00FB6283">
        <w:rPr>
          <w:lang w:val="en-US"/>
        </w:rPr>
        <w:t>EUR: Euro</w:t>
      </w:r>
    </w:p>
    <w:p w:rsidR="00185FCF" w:rsidRPr="0047208E" w:rsidRDefault="00185FCF" w:rsidP="00A95AE0">
      <w:pPr>
        <w:spacing w:before="100" w:beforeAutospacing="1" w:after="100" w:afterAutospacing="1" w:line="276" w:lineRule="auto"/>
        <w:rPr>
          <w:lang w:val="es-ES_tradnl"/>
        </w:rPr>
      </w:pPr>
      <w:r w:rsidRPr="00FB6283">
        <w:rPr>
          <w:lang w:val="en-US"/>
        </w:rPr>
        <w:t xml:space="preserve">FERC: Federal Energy Regulatory Commission. </w:t>
      </w:r>
      <w:r w:rsidRPr="0047208E">
        <w:rPr>
          <w:lang w:val="es-ES_tradnl"/>
        </w:rPr>
        <w:t>Comisión federal de regulación energética estadounidense.</w:t>
      </w:r>
    </w:p>
    <w:p w:rsidR="00185FCF" w:rsidRDefault="00185FCF" w:rsidP="00A95AE0">
      <w:pPr>
        <w:spacing w:before="100" w:beforeAutospacing="1" w:after="100" w:afterAutospacing="1" w:line="276" w:lineRule="auto"/>
        <w:rPr>
          <w:lang w:val="en-US"/>
        </w:rPr>
      </w:pPr>
      <w:r w:rsidRPr="00FB6283">
        <w:rPr>
          <w:lang w:val="en-US"/>
        </w:rPr>
        <w:t xml:space="preserve">FIT: Feed in tariffs. </w:t>
      </w:r>
      <w:proofErr w:type="spellStart"/>
      <w:proofErr w:type="gramStart"/>
      <w:r w:rsidRPr="00FB6283">
        <w:rPr>
          <w:lang w:val="en-US"/>
        </w:rPr>
        <w:t>Tarifas</w:t>
      </w:r>
      <w:proofErr w:type="spellEnd"/>
      <w:r w:rsidRPr="00FB6283">
        <w:rPr>
          <w:lang w:val="en-US"/>
        </w:rPr>
        <w:t xml:space="preserve"> </w:t>
      </w:r>
      <w:proofErr w:type="spellStart"/>
      <w:r w:rsidRPr="00FB6283">
        <w:rPr>
          <w:lang w:val="en-US"/>
        </w:rPr>
        <w:t>fijas</w:t>
      </w:r>
      <w:proofErr w:type="spellEnd"/>
      <w:r w:rsidRPr="00FB6283">
        <w:rPr>
          <w:lang w:val="en-US"/>
        </w:rPr>
        <w:t>.</w:t>
      </w:r>
      <w:proofErr w:type="gramEnd"/>
    </w:p>
    <w:p w:rsidR="00185FCF" w:rsidRPr="00185FCF" w:rsidRDefault="00185FCF" w:rsidP="00A95AE0">
      <w:pPr>
        <w:spacing w:before="100" w:beforeAutospacing="1" w:after="100" w:afterAutospacing="1" w:line="276" w:lineRule="auto"/>
      </w:pPr>
      <w:r w:rsidRPr="00185FCF">
        <w:t>GBP: libra británica</w:t>
      </w:r>
    </w:p>
    <w:p w:rsidR="00185FCF" w:rsidRPr="00085DA8" w:rsidRDefault="00185FCF" w:rsidP="00A95AE0">
      <w:pPr>
        <w:spacing w:before="100" w:beforeAutospacing="1" w:after="100" w:afterAutospacing="1" w:line="276" w:lineRule="auto"/>
      </w:pPr>
      <w:r w:rsidRPr="00085DA8">
        <w:t xml:space="preserve">ISO: </w:t>
      </w:r>
      <w:proofErr w:type="spellStart"/>
      <w:r w:rsidRPr="00085DA8">
        <w:t>Independent</w:t>
      </w:r>
      <w:proofErr w:type="spellEnd"/>
      <w:r w:rsidRPr="00085DA8">
        <w:t xml:space="preserve"> </w:t>
      </w:r>
      <w:proofErr w:type="spellStart"/>
      <w:r w:rsidRPr="00085DA8">
        <w:t>system</w:t>
      </w:r>
      <w:proofErr w:type="spellEnd"/>
      <w:r w:rsidRPr="00085DA8">
        <w:t xml:space="preserve"> </w:t>
      </w:r>
      <w:proofErr w:type="spellStart"/>
      <w:r w:rsidRPr="00085DA8">
        <w:t>operator</w:t>
      </w:r>
      <w:proofErr w:type="spellEnd"/>
      <w:r w:rsidRPr="00085DA8">
        <w:t xml:space="preserve">. Operador independiente del sistema. </w:t>
      </w:r>
    </w:p>
    <w:p w:rsidR="00185FCF" w:rsidRDefault="00185FCF" w:rsidP="00A95AE0">
      <w:pPr>
        <w:spacing w:before="100" w:beforeAutospacing="1" w:after="100" w:afterAutospacing="1" w:line="276" w:lineRule="auto"/>
        <w:rPr>
          <w:lang w:val="en-US"/>
        </w:rPr>
      </w:pPr>
      <w:r w:rsidRPr="008E2FA2">
        <w:rPr>
          <w:lang w:val="en-US"/>
        </w:rPr>
        <w:t xml:space="preserve">ISO NE: ISO New England. </w:t>
      </w:r>
    </w:p>
    <w:p w:rsidR="00185FCF" w:rsidRPr="008E2FA2" w:rsidRDefault="00185FCF" w:rsidP="00A95AE0">
      <w:pPr>
        <w:spacing w:before="100" w:beforeAutospacing="1" w:after="100" w:afterAutospacing="1" w:line="276" w:lineRule="auto"/>
        <w:rPr>
          <w:lang w:val="en-US"/>
        </w:rPr>
      </w:pPr>
      <w:r w:rsidRPr="008E2FA2">
        <w:rPr>
          <w:lang w:val="en-US"/>
        </w:rPr>
        <w:t>ISO NY, ISO New York.</w:t>
      </w:r>
    </w:p>
    <w:p w:rsidR="00185FCF" w:rsidRPr="00085DA8" w:rsidRDefault="00185FCF" w:rsidP="00A95AE0">
      <w:pPr>
        <w:spacing w:before="100" w:beforeAutospacing="1" w:after="100" w:afterAutospacing="1" w:line="276" w:lineRule="auto"/>
      </w:pPr>
      <w:r w:rsidRPr="00FB6283">
        <w:rPr>
          <w:lang w:val="en-US"/>
        </w:rPr>
        <w:t xml:space="preserve">MISO: Midwest independent system operator. </w:t>
      </w:r>
      <w:r w:rsidRPr="00085DA8">
        <w:t xml:space="preserve">Incluye gran parte de North Dakota, South Dakota, Nebraska, Minnesota, Iowa, Wisconsin, Illinois, Indiana, Michigan y partes </w:t>
      </w:r>
      <w:proofErr w:type="spellStart"/>
      <w:r w:rsidRPr="00085DA8">
        <w:t>deMontana</w:t>
      </w:r>
      <w:proofErr w:type="spellEnd"/>
      <w:r w:rsidRPr="00085DA8">
        <w:t xml:space="preserve">, </w:t>
      </w:r>
      <w:proofErr w:type="spellStart"/>
      <w:r w:rsidRPr="00085DA8">
        <w:t>Mossouri</w:t>
      </w:r>
      <w:proofErr w:type="spellEnd"/>
      <w:r w:rsidRPr="00085DA8">
        <w:t>, Kentucky y Ohio.</w:t>
      </w:r>
    </w:p>
    <w:p w:rsidR="00185FCF" w:rsidRPr="00185FCF" w:rsidRDefault="00185FCF" w:rsidP="00A95AE0">
      <w:pPr>
        <w:spacing w:before="100" w:beforeAutospacing="1" w:after="100" w:afterAutospacing="1" w:line="276" w:lineRule="auto"/>
      </w:pPr>
      <w:r>
        <w:rPr>
          <w:lang w:val="en-US"/>
        </w:rPr>
        <w:t>NASA:</w:t>
      </w:r>
      <w:r w:rsidRPr="00085DA8">
        <w:rPr>
          <w:lang w:val="en-US"/>
        </w:rPr>
        <w:t xml:space="preserve"> </w:t>
      </w:r>
      <w:r w:rsidRPr="004450EB">
        <w:rPr>
          <w:lang w:val="en-US"/>
        </w:rPr>
        <w:t>National Aeronautics a</w:t>
      </w:r>
      <w:r>
        <w:rPr>
          <w:lang w:val="en-US"/>
        </w:rPr>
        <w:t xml:space="preserve">nd Space Administration (NASA). </w:t>
      </w:r>
      <w:r w:rsidRPr="00185FCF">
        <w:t>Agencia especial estadounidense.</w:t>
      </w:r>
    </w:p>
    <w:p w:rsidR="00185FCF" w:rsidRDefault="00185FCF" w:rsidP="00A95AE0">
      <w:pPr>
        <w:spacing w:before="100" w:beforeAutospacing="1" w:after="100" w:afterAutospacing="1" w:line="276" w:lineRule="auto"/>
        <w:rPr>
          <w:lang w:val="es-ES_tradnl"/>
        </w:rPr>
      </w:pPr>
      <w:r w:rsidRPr="00185FCF">
        <w:t xml:space="preserve">NERC: North American Electric </w:t>
      </w:r>
      <w:proofErr w:type="spellStart"/>
      <w:r w:rsidRPr="00185FCF">
        <w:t>Reliability</w:t>
      </w:r>
      <w:proofErr w:type="spellEnd"/>
      <w:r w:rsidRPr="00185FCF">
        <w:t xml:space="preserve"> </w:t>
      </w:r>
      <w:proofErr w:type="spellStart"/>
      <w:r w:rsidRPr="00185FCF">
        <w:t>Corporation</w:t>
      </w:r>
      <w:proofErr w:type="spellEnd"/>
      <w:r w:rsidRPr="00185FCF">
        <w:t xml:space="preserve">. </w:t>
      </w:r>
      <w:r w:rsidRPr="0047208E">
        <w:rPr>
          <w:lang w:val="es-ES_tradnl"/>
        </w:rPr>
        <w:t>Asociación de operadores de redes estadounidenses.</w:t>
      </w:r>
    </w:p>
    <w:p w:rsidR="00185FCF" w:rsidRPr="00E52DE1" w:rsidRDefault="00185FCF" w:rsidP="00A95AE0">
      <w:pPr>
        <w:spacing w:before="100" w:beforeAutospacing="1" w:after="100" w:afterAutospacing="1" w:line="276" w:lineRule="auto"/>
        <w:rPr>
          <w:lang w:val="fr-FR"/>
        </w:rPr>
      </w:pPr>
      <w:r w:rsidRPr="00E52DE1">
        <w:rPr>
          <w:lang w:val="fr-FR"/>
        </w:rPr>
        <w:t xml:space="preserve">NOME: </w:t>
      </w:r>
      <w:r>
        <w:rPr>
          <w:lang w:val="fr-FR"/>
        </w:rPr>
        <w:t>N</w:t>
      </w:r>
      <w:r w:rsidRPr="00E52DE1">
        <w:rPr>
          <w:lang w:val="fr-FR"/>
        </w:rPr>
        <w:t>ouvelle organisation du marché de l'électricité</w:t>
      </w:r>
      <w:r>
        <w:rPr>
          <w:lang w:val="fr-FR"/>
        </w:rPr>
        <w:t xml:space="preserve">. </w:t>
      </w:r>
      <w:proofErr w:type="spellStart"/>
      <w:r>
        <w:rPr>
          <w:lang w:val="fr-FR"/>
        </w:rPr>
        <w:t>Ley</w:t>
      </w:r>
      <w:proofErr w:type="spellEnd"/>
      <w:r>
        <w:rPr>
          <w:lang w:val="fr-FR"/>
        </w:rPr>
        <w:t xml:space="preserve"> </w:t>
      </w:r>
      <w:proofErr w:type="gramStart"/>
      <w:r>
        <w:rPr>
          <w:lang w:val="fr-FR"/>
        </w:rPr>
        <w:t xml:space="preserve">de </w:t>
      </w:r>
      <w:proofErr w:type="spellStart"/>
      <w:r>
        <w:rPr>
          <w:lang w:val="fr-FR"/>
        </w:rPr>
        <w:t>electricidad</w:t>
      </w:r>
      <w:proofErr w:type="spellEnd"/>
      <w:proofErr w:type="gramEnd"/>
      <w:r>
        <w:rPr>
          <w:lang w:val="fr-FR"/>
        </w:rPr>
        <w:t xml:space="preserve"> </w:t>
      </w:r>
      <w:proofErr w:type="spellStart"/>
      <w:r>
        <w:rPr>
          <w:lang w:val="fr-FR"/>
        </w:rPr>
        <w:t>francesa</w:t>
      </w:r>
      <w:proofErr w:type="spellEnd"/>
      <w:r>
        <w:rPr>
          <w:lang w:val="fr-FR"/>
        </w:rPr>
        <w:t>.</w:t>
      </w:r>
    </w:p>
    <w:p w:rsidR="00185FCF" w:rsidRPr="00E52DE1" w:rsidRDefault="00185FCF" w:rsidP="00A95AE0">
      <w:pPr>
        <w:spacing w:before="100" w:beforeAutospacing="1" w:after="100" w:afterAutospacing="1" w:line="276" w:lineRule="auto"/>
        <w:rPr>
          <w:lang w:val="fr-FR"/>
        </w:rPr>
      </w:pPr>
      <w:r w:rsidRPr="00E52DE1">
        <w:rPr>
          <w:lang w:val="fr-FR"/>
        </w:rPr>
        <w:t xml:space="preserve">PIE: Power in Europe, </w:t>
      </w:r>
      <w:proofErr w:type="spellStart"/>
      <w:r w:rsidRPr="00E52DE1">
        <w:rPr>
          <w:lang w:val="fr-FR"/>
        </w:rPr>
        <w:t>Platts</w:t>
      </w:r>
      <w:proofErr w:type="spellEnd"/>
    </w:p>
    <w:p w:rsidR="00185FCF" w:rsidRPr="0047208E" w:rsidRDefault="00185FCF" w:rsidP="00A95AE0">
      <w:pPr>
        <w:spacing w:before="100" w:beforeAutospacing="1" w:after="100" w:afterAutospacing="1" w:line="276" w:lineRule="auto"/>
        <w:rPr>
          <w:lang w:val="es-ES_tradnl"/>
        </w:rPr>
      </w:pPr>
      <w:r w:rsidRPr="0047208E">
        <w:rPr>
          <w:lang w:val="es-ES_tradnl"/>
        </w:rPr>
        <w:t xml:space="preserve">PJM </w:t>
      </w:r>
      <w:proofErr w:type="spellStart"/>
      <w:r w:rsidRPr="0047208E">
        <w:rPr>
          <w:lang w:val="es-ES_tradnl"/>
        </w:rPr>
        <w:t>Interconnection</w:t>
      </w:r>
      <w:proofErr w:type="spellEnd"/>
      <w:r w:rsidRPr="0047208E">
        <w:rPr>
          <w:lang w:val="es-ES_tradnl"/>
        </w:rPr>
        <w:t xml:space="preserve">: Organización regional de transporte de electricidad (regional </w:t>
      </w:r>
      <w:proofErr w:type="spellStart"/>
      <w:r w:rsidRPr="0047208E">
        <w:rPr>
          <w:lang w:val="es-ES_tradnl"/>
        </w:rPr>
        <w:t>transmission</w:t>
      </w:r>
      <w:proofErr w:type="spellEnd"/>
      <w:r w:rsidRPr="0047208E">
        <w:rPr>
          <w:lang w:val="es-ES_tradnl"/>
        </w:rPr>
        <w:t xml:space="preserve"> </w:t>
      </w:r>
      <w:proofErr w:type="spellStart"/>
      <w:r w:rsidRPr="0047208E">
        <w:rPr>
          <w:lang w:val="es-ES_tradnl"/>
        </w:rPr>
        <w:t>organization</w:t>
      </w:r>
      <w:proofErr w:type="spellEnd"/>
      <w:r w:rsidRPr="0047208E">
        <w:rPr>
          <w:lang w:val="es-ES_tradnl"/>
        </w:rPr>
        <w:t xml:space="preserve"> -RTO) que coordina los movimientos de electricidad mayoristas en parte o en su totalidad de los siguientes estados: Delaware, Illinois, Indiana, Kentucky, Maryland, Michigan, New Jersey, North Carolina, Ohio, Pennsylvania, Tennessee, Virginia, West Virginia y el Distrito de Columbia.</w:t>
      </w:r>
    </w:p>
    <w:p w:rsidR="00185FCF" w:rsidRPr="00FB6283" w:rsidRDefault="00185FCF" w:rsidP="00A95AE0">
      <w:pPr>
        <w:spacing w:before="100" w:beforeAutospacing="1" w:after="100" w:afterAutospacing="1" w:line="276" w:lineRule="auto"/>
        <w:rPr>
          <w:lang w:val="en-US"/>
        </w:rPr>
      </w:pPr>
      <w:r w:rsidRPr="00FB6283">
        <w:rPr>
          <w:lang w:val="en-US"/>
        </w:rPr>
        <w:t>PTC: Production tax credit.</w:t>
      </w:r>
    </w:p>
    <w:p w:rsidR="00185FCF" w:rsidRPr="0047208E" w:rsidRDefault="00185FCF" w:rsidP="00A95AE0">
      <w:pPr>
        <w:spacing w:before="100" w:beforeAutospacing="1" w:after="100" w:afterAutospacing="1" w:line="276" w:lineRule="auto"/>
        <w:rPr>
          <w:lang w:val="es-ES_tradnl"/>
        </w:rPr>
      </w:pPr>
      <w:r w:rsidRPr="00185FCF">
        <w:rPr>
          <w:lang w:val="en-US"/>
        </w:rPr>
        <w:t xml:space="preserve">PSC: Public Service Commission. </w:t>
      </w:r>
      <w:r w:rsidRPr="0047208E">
        <w:rPr>
          <w:lang w:val="es-ES_tradnl"/>
        </w:rPr>
        <w:t>Agencia regulatoria de supervisión de empresas reguladas estadounidense.</w:t>
      </w:r>
    </w:p>
    <w:p w:rsidR="00185FCF" w:rsidRPr="0047208E" w:rsidRDefault="00185FCF" w:rsidP="00A95AE0">
      <w:pPr>
        <w:spacing w:before="100" w:beforeAutospacing="1" w:after="100" w:afterAutospacing="1" w:line="276" w:lineRule="auto"/>
        <w:rPr>
          <w:lang w:val="es-ES_tradnl"/>
        </w:rPr>
      </w:pPr>
      <w:r w:rsidRPr="0047208E">
        <w:rPr>
          <w:lang w:val="es-ES_tradnl"/>
        </w:rPr>
        <w:t xml:space="preserve">PUC: </w:t>
      </w:r>
      <w:proofErr w:type="spellStart"/>
      <w:r w:rsidRPr="0047208E">
        <w:rPr>
          <w:lang w:val="es-ES_tradnl"/>
        </w:rPr>
        <w:t>Public</w:t>
      </w:r>
      <w:proofErr w:type="spellEnd"/>
      <w:r w:rsidRPr="0047208E">
        <w:rPr>
          <w:lang w:val="es-ES_tradnl"/>
        </w:rPr>
        <w:t xml:space="preserve"> </w:t>
      </w:r>
      <w:proofErr w:type="spellStart"/>
      <w:r w:rsidRPr="0047208E">
        <w:rPr>
          <w:lang w:val="es-ES_tradnl"/>
        </w:rPr>
        <w:t>Utility</w:t>
      </w:r>
      <w:proofErr w:type="spellEnd"/>
      <w:r w:rsidRPr="0047208E">
        <w:rPr>
          <w:lang w:val="es-ES_tradnl"/>
        </w:rPr>
        <w:t xml:space="preserve"> </w:t>
      </w:r>
      <w:proofErr w:type="spellStart"/>
      <w:r w:rsidRPr="0047208E">
        <w:rPr>
          <w:lang w:val="es-ES_tradnl"/>
        </w:rPr>
        <w:t>Commission</w:t>
      </w:r>
      <w:proofErr w:type="spellEnd"/>
      <w:r w:rsidRPr="0047208E">
        <w:rPr>
          <w:lang w:val="es-ES_tradnl"/>
        </w:rPr>
        <w:t xml:space="preserve">. Agencias que regulan a nivel estatal las </w:t>
      </w:r>
      <w:proofErr w:type="spellStart"/>
      <w:r w:rsidRPr="0047208E">
        <w:rPr>
          <w:lang w:val="es-ES_tradnl"/>
        </w:rPr>
        <w:t>utilities</w:t>
      </w:r>
      <w:proofErr w:type="spellEnd"/>
      <w:r w:rsidRPr="0047208E">
        <w:rPr>
          <w:lang w:val="es-ES_tradnl"/>
        </w:rPr>
        <w:t xml:space="preserve"> de servicios esenciales.</w:t>
      </w:r>
    </w:p>
    <w:p w:rsidR="00185FCF" w:rsidRPr="0047208E" w:rsidRDefault="00185FCF" w:rsidP="00A95AE0">
      <w:pPr>
        <w:spacing w:before="100" w:beforeAutospacing="1" w:after="100" w:afterAutospacing="1" w:line="276" w:lineRule="auto"/>
        <w:rPr>
          <w:lang w:val="es-ES_tradnl"/>
        </w:rPr>
      </w:pPr>
      <w:r w:rsidRPr="0047208E">
        <w:rPr>
          <w:lang w:val="es-ES_tradnl"/>
        </w:rPr>
        <w:t xml:space="preserve">REC: </w:t>
      </w:r>
      <w:proofErr w:type="spellStart"/>
      <w:r w:rsidRPr="0047208E">
        <w:rPr>
          <w:lang w:val="es-ES_tradnl"/>
        </w:rPr>
        <w:t>renewable</w:t>
      </w:r>
      <w:proofErr w:type="spellEnd"/>
      <w:r w:rsidRPr="0047208E">
        <w:rPr>
          <w:lang w:val="es-ES_tradnl"/>
        </w:rPr>
        <w:t xml:space="preserve"> </w:t>
      </w:r>
      <w:proofErr w:type="spellStart"/>
      <w:r w:rsidRPr="0047208E">
        <w:rPr>
          <w:lang w:val="es-ES_tradnl"/>
        </w:rPr>
        <w:t>energy</w:t>
      </w:r>
      <w:proofErr w:type="spellEnd"/>
      <w:r w:rsidRPr="0047208E">
        <w:rPr>
          <w:lang w:val="es-ES_tradnl"/>
        </w:rPr>
        <w:t xml:space="preserve"> </w:t>
      </w:r>
      <w:proofErr w:type="spellStart"/>
      <w:r w:rsidRPr="0047208E">
        <w:rPr>
          <w:lang w:val="es-ES_tradnl"/>
        </w:rPr>
        <w:t>credits</w:t>
      </w:r>
      <w:proofErr w:type="spellEnd"/>
      <w:r w:rsidRPr="0047208E">
        <w:rPr>
          <w:lang w:val="es-ES_tradnl"/>
        </w:rPr>
        <w:t>. Es un crédito fiscal ofrecido por una autoridad fiscal local o federal como incentivo para la instalación y operación de energía renovable.</w:t>
      </w:r>
    </w:p>
    <w:p w:rsidR="00185FCF" w:rsidRPr="00FB6283" w:rsidRDefault="00185FCF" w:rsidP="00A95AE0">
      <w:pPr>
        <w:spacing w:before="100" w:beforeAutospacing="1" w:after="100" w:afterAutospacing="1" w:line="276" w:lineRule="auto"/>
        <w:rPr>
          <w:lang w:val="en-US"/>
        </w:rPr>
      </w:pPr>
      <w:r w:rsidRPr="00FB6283">
        <w:rPr>
          <w:lang w:val="en-US"/>
        </w:rPr>
        <w:t>REM: renewable energy monitor.</w:t>
      </w:r>
    </w:p>
    <w:p w:rsidR="00185FCF" w:rsidRPr="00FB6283" w:rsidRDefault="00185FCF" w:rsidP="00A95AE0">
      <w:pPr>
        <w:spacing w:before="100" w:beforeAutospacing="1" w:after="100" w:afterAutospacing="1" w:line="276" w:lineRule="auto"/>
        <w:rPr>
          <w:lang w:val="en-US"/>
        </w:rPr>
      </w:pPr>
      <w:r w:rsidRPr="00FB6283">
        <w:rPr>
          <w:lang w:val="en-US"/>
        </w:rPr>
        <w:t xml:space="preserve">RER: Renewable Energy Report, </w:t>
      </w:r>
      <w:proofErr w:type="spellStart"/>
      <w:r w:rsidRPr="00FB6283">
        <w:rPr>
          <w:lang w:val="en-US"/>
        </w:rPr>
        <w:t>Platts</w:t>
      </w:r>
      <w:proofErr w:type="spellEnd"/>
    </w:p>
    <w:p w:rsidR="00185FCF" w:rsidRPr="00FB6283" w:rsidRDefault="00185FCF" w:rsidP="00A95AE0">
      <w:pPr>
        <w:spacing w:before="100" w:beforeAutospacing="1" w:after="100" w:afterAutospacing="1" w:line="276" w:lineRule="auto"/>
        <w:rPr>
          <w:lang w:val="en-US"/>
        </w:rPr>
      </w:pPr>
      <w:r w:rsidRPr="00FB6283">
        <w:rPr>
          <w:lang w:val="en-US"/>
        </w:rPr>
        <w:t xml:space="preserve">RPS: renewable portfolio standard. </w:t>
      </w:r>
    </w:p>
    <w:p w:rsidR="00185FCF" w:rsidRPr="00092BE2" w:rsidRDefault="00185FCF" w:rsidP="00A95AE0">
      <w:pPr>
        <w:spacing w:before="100" w:beforeAutospacing="1" w:after="100" w:afterAutospacing="1" w:line="276" w:lineRule="auto"/>
        <w:rPr>
          <w:lang w:val="en-US"/>
        </w:rPr>
      </w:pPr>
      <w:r>
        <w:rPr>
          <w:lang w:val="en-US"/>
        </w:rPr>
        <w:t xml:space="preserve">REM week: renewable energy monitor. </w:t>
      </w:r>
      <w:proofErr w:type="spellStart"/>
      <w:proofErr w:type="gramStart"/>
      <w:r>
        <w:rPr>
          <w:lang w:val="en-US"/>
        </w:rPr>
        <w:t>Boletin</w:t>
      </w:r>
      <w:proofErr w:type="spellEnd"/>
      <w:r>
        <w:rPr>
          <w:lang w:val="en-US"/>
        </w:rPr>
        <w:t xml:space="preserve"> de </w:t>
      </w:r>
      <w:proofErr w:type="spellStart"/>
      <w:r>
        <w:rPr>
          <w:lang w:val="en-US"/>
        </w:rPr>
        <w:t>noticias</w:t>
      </w:r>
      <w:proofErr w:type="spellEnd"/>
      <w:r>
        <w:rPr>
          <w:lang w:val="en-US"/>
        </w:rPr>
        <w:t xml:space="preserve"> </w:t>
      </w:r>
      <w:proofErr w:type="spellStart"/>
      <w:r>
        <w:rPr>
          <w:lang w:val="en-US"/>
        </w:rPr>
        <w:t>energéticas</w:t>
      </w:r>
      <w:proofErr w:type="spellEnd"/>
      <w:r>
        <w:rPr>
          <w:lang w:val="en-US"/>
        </w:rPr>
        <w:t>.</w:t>
      </w:r>
      <w:proofErr w:type="gramEnd"/>
      <w:r>
        <w:rPr>
          <w:lang w:val="en-US"/>
        </w:rPr>
        <w:t xml:space="preserve"> </w:t>
      </w:r>
      <w:r w:rsidRPr="00092BE2">
        <w:rPr>
          <w:lang w:val="en-US"/>
        </w:rPr>
        <w:t>.</w:t>
      </w:r>
    </w:p>
    <w:p w:rsidR="00185FCF" w:rsidRPr="008E2FA2" w:rsidRDefault="00185FCF" w:rsidP="00A95AE0">
      <w:pPr>
        <w:spacing w:before="100" w:beforeAutospacing="1" w:after="100" w:afterAutospacing="1" w:line="276" w:lineRule="auto"/>
      </w:pPr>
      <w:r w:rsidRPr="00817A2F">
        <w:rPr>
          <w:lang w:val="en-US"/>
        </w:rPr>
        <w:t xml:space="preserve">SPP: southwest power pool. </w:t>
      </w:r>
      <w:r w:rsidRPr="00185FCF">
        <w:t xml:space="preserve">Operador regional de transporte (RTO) en EEUU dando </w:t>
      </w:r>
      <w:r>
        <w:t xml:space="preserve">servicio a los estados de </w:t>
      </w:r>
      <w:r w:rsidRPr="002F0753">
        <w:t>Kansas</w:t>
      </w:r>
      <w:r>
        <w:t xml:space="preserve"> y Oklahoma y partes de</w:t>
      </w:r>
      <w:r w:rsidRPr="002F0753">
        <w:t xml:space="preserve"> New </w:t>
      </w:r>
      <w:proofErr w:type="spellStart"/>
      <w:r w:rsidRPr="002F0753">
        <w:t>Mexico</w:t>
      </w:r>
      <w:proofErr w:type="spellEnd"/>
      <w:r w:rsidRPr="002F0753">
        <w:t xml:space="preserve">, Texas, Arkansas, </w:t>
      </w:r>
      <w:proofErr w:type="spellStart"/>
      <w:r w:rsidRPr="002F0753">
        <w:t>Louisiana</w:t>
      </w:r>
      <w:proofErr w:type="spellEnd"/>
      <w:r w:rsidRPr="002F0753">
        <w:t xml:space="preserve">, Missouri </w:t>
      </w:r>
      <w:r>
        <w:t>y</w:t>
      </w:r>
      <w:r w:rsidRPr="002F0753">
        <w:t xml:space="preserve"> Nebraska.</w:t>
      </w:r>
    </w:p>
    <w:p w:rsidR="00185FCF" w:rsidRDefault="00185FCF" w:rsidP="00A95AE0">
      <w:pPr>
        <w:spacing w:before="100" w:beforeAutospacing="1" w:after="100" w:afterAutospacing="1" w:line="276" w:lineRule="auto"/>
      </w:pPr>
      <w:r w:rsidRPr="008E2FA2">
        <w:t xml:space="preserve">TSO: </w:t>
      </w:r>
      <w:proofErr w:type="spellStart"/>
      <w:r w:rsidRPr="008E2FA2">
        <w:t>transmission</w:t>
      </w:r>
      <w:proofErr w:type="spellEnd"/>
      <w:r w:rsidRPr="008E2FA2">
        <w:t xml:space="preserve"> </w:t>
      </w:r>
      <w:proofErr w:type="spellStart"/>
      <w:r w:rsidRPr="008E2FA2">
        <w:t>system</w:t>
      </w:r>
      <w:proofErr w:type="spellEnd"/>
      <w:r w:rsidRPr="008E2FA2">
        <w:t xml:space="preserve"> </w:t>
      </w:r>
      <w:proofErr w:type="spellStart"/>
      <w:r w:rsidRPr="008E2FA2">
        <w:t>operator</w:t>
      </w:r>
      <w:proofErr w:type="spellEnd"/>
      <w:r w:rsidRPr="008E2FA2">
        <w:t>. Operador de la red de transporte.</w:t>
      </w:r>
    </w:p>
    <w:p w:rsidR="00185FCF" w:rsidRPr="00E52DE1" w:rsidRDefault="00185FCF" w:rsidP="00A95AE0">
      <w:pPr>
        <w:spacing w:before="100" w:beforeAutospacing="1" w:after="100" w:afterAutospacing="1" w:line="276" w:lineRule="auto"/>
      </w:pPr>
      <w:r w:rsidRPr="00E52DE1">
        <w:rPr>
          <w:lang w:val="fr-FR"/>
        </w:rPr>
        <w:t>TURPE: tarif d'utilisation des réseaux publics d'électricité</w:t>
      </w:r>
      <w:r>
        <w:rPr>
          <w:lang w:val="fr-FR"/>
        </w:rPr>
        <w:t xml:space="preserve">. </w:t>
      </w:r>
      <w:r w:rsidRPr="00E52DE1">
        <w:t>Tarifas de uso de la red de transporte francesa.</w:t>
      </w:r>
    </w:p>
    <w:p w:rsidR="00185FCF" w:rsidRPr="0047208E" w:rsidRDefault="00185FCF" w:rsidP="00A95AE0">
      <w:pPr>
        <w:spacing w:before="100" w:beforeAutospacing="1" w:after="100" w:afterAutospacing="1" w:line="276" w:lineRule="auto"/>
        <w:rPr>
          <w:lang w:val="es-ES_tradnl"/>
        </w:rPr>
      </w:pPr>
      <w:r w:rsidRPr="0047208E">
        <w:rPr>
          <w:lang w:val="es-ES_tradnl"/>
        </w:rPr>
        <w:t>UE: Unión Europea</w:t>
      </w:r>
    </w:p>
    <w:p w:rsidR="00185FCF" w:rsidRPr="00185FCF" w:rsidRDefault="00185FCF" w:rsidP="00A95AE0">
      <w:pPr>
        <w:spacing w:before="100" w:beforeAutospacing="1" w:after="100" w:afterAutospacing="1" w:line="276" w:lineRule="auto"/>
      </w:pPr>
      <w:r w:rsidRPr="00185FCF">
        <w:t xml:space="preserve">USD: </w:t>
      </w:r>
      <w:proofErr w:type="spellStart"/>
      <w:r w:rsidRPr="00185FCF">
        <w:t>Dolar</w:t>
      </w:r>
      <w:proofErr w:type="spellEnd"/>
      <w:r w:rsidRPr="00185FCF">
        <w:t xml:space="preserve"> Americano</w:t>
      </w:r>
    </w:p>
    <w:p w:rsidR="00185FCF" w:rsidRPr="00F22336" w:rsidRDefault="00185FCF" w:rsidP="00A95AE0">
      <w:pPr>
        <w:spacing w:before="100" w:beforeAutospacing="1" w:after="100" w:afterAutospacing="1" w:line="276" w:lineRule="auto"/>
        <w:rPr>
          <w:lang w:val="es-ES_tradnl"/>
        </w:rPr>
      </w:pPr>
      <w:r w:rsidRPr="008E2FA2">
        <w:rPr>
          <w:lang w:val="en-US"/>
        </w:rPr>
        <w:t>W</w:t>
      </w:r>
      <w:r>
        <w:rPr>
          <w:lang w:val="en-US"/>
        </w:rPr>
        <w:t>EC: world energy council</w:t>
      </w:r>
    </w:p>
    <w:p w:rsidR="00185FCF" w:rsidRDefault="00185FCF" w:rsidP="00185FCF">
      <w:pPr>
        <w:pStyle w:val="Sinespaciado"/>
        <w:numPr>
          <w:ilvl w:val="0"/>
          <w:numId w:val="0"/>
        </w:numPr>
        <w:spacing w:before="100" w:beforeAutospacing="1" w:line="276" w:lineRule="auto"/>
        <w:ind w:left="720" w:hanging="360"/>
      </w:pPr>
    </w:p>
    <w:sectPr w:rsidR="00185FCF" w:rsidSect="005276F6">
      <w:headerReference w:type="even" r:id="rId22"/>
      <w:headerReference w:type="default" r:id="rId23"/>
      <w:footerReference w:type="even" r:id="rId24"/>
      <w:footerReference w:type="default" r:id="rId25"/>
      <w:headerReference w:type="first" r:id="rId26"/>
      <w:footerReference w:type="first" r:id="rId2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B71" w:rsidRDefault="005D1B71" w:rsidP="006A35D8">
      <w:r>
        <w:separator/>
      </w:r>
    </w:p>
  </w:endnote>
  <w:endnote w:type="continuationSeparator" w:id="0">
    <w:p w:rsidR="005D1B71" w:rsidRDefault="005D1B71" w:rsidP="006A35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ueOptimaBol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37" w:rsidRDefault="00D9223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0"/>
      </w:rPr>
      <w:id w:val="80783547"/>
      <w:docPartObj>
        <w:docPartGallery w:val="Page Numbers (Bottom of Page)"/>
        <w:docPartUnique/>
      </w:docPartObj>
    </w:sdtPr>
    <w:sdtEndPr>
      <w:rPr>
        <w:szCs w:val="22"/>
      </w:rPr>
    </w:sdtEndPr>
    <w:sdtContent>
      <w:p w:rsidR="005D1B71" w:rsidRPr="00CF0576" w:rsidRDefault="005D1B71" w:rsidP="00CF0576">
        <w:pPr>
          <w:pStyle w:val="Piedepgina"/>
          <w:tabs>
            <w:tab w:val="clear" w:pos="8504"/>
            <w:tab w:val="right" w:pos="8789"/>
          </w:tabs>
          <w:spacing w:after="0"/>
          <w:jc w:val="center"/>
          <w:rPr>
            <w:szCs w:val="20"/>
          </w:rPr>
        </w:pPr>
        <w:r w:rsidRPr="00CF0576">
          <w:rPr>
            <w:szCs w:val="20"/>
          </w:rPr>
          <w:fldChar w:fldCharType="begin"/>
        </w:r>
        <w:r w:rsidRPr="00CF0576">
          <w:rPr>
            <w:szCs w:val="20"/>
          </w:rPr>
          <w:instrText xml:space="preserve"> PAGE   \* MERGEFORMAT </w:instrText>
        </w:r>
        <w:r w:rsidRPr="00CF0576">
          <w:rPr>
            <w:szCs w:val="20"/>
          </w:rPr>
          <w:fldChar w:fldCharType="separate"/>
        </w:r>
        <w:r w:rsidR="00E34345">
          <w:rPr>
            <w:noProof/>
            <w:szCs w:val="20"/>
          </w:rPr>
          <w:t>13</w:t>
        </w:r>
        <w:r w:rsidRPr="00CF0576">
          <w:rPr>
            <w:szCs w:val="20"/>
          </w:rPr>
          <w:fldChar w:fldCharType="end"/>
        </w:r>
        <w:r w:rsidRPr="00CF0576">
          <w:rPr>
            <w:szCs w:val="20"/>
          </w:rPr>
          <w:t xml:space="preserve"> </w:t>
        </w:r>
        <w:r w:rsidRPr="00CF0576">
          <w:rPr>
            <w:rStyle w:val="Nmerodepgina"/>
            <w:szCs w:val="20"/>
          </w:rPr>
          <w:t xml:space="preserve">de </w:t>
        </w:r>
        <w:r w:rsidRPr="00CF0576">
          <w:rPr>
            <w:rStyle w:val="Nmerodepgina"/>
            <w:szCs w:val="20"/>
          </w:rPr>
          <w:fldChar w:fldCharType="begin"/>
        </w:r>
        <w:r w:rsidRPr="00CF0576">
          <w:rPr>
            <w:rStyle w:val="Nmerodepgina"/>
            <w:szCs w:val="20"/>
          </w:rPr>
          <w:instrText xml:space="preserve"> NUMPAGES </w:instrText>
        </w:r>
        <w:r w:rsidRPr="00CF0576">
          <w:rPr>
            <w:rStyle w:val="Nmerodepgina"/>
            <w:szCs w:val="20"/>
          </w:rPr>
          <w:fldChar w:fldCharType="separate"/>
        </w:r>
        <w:r w:rsidR="00E34345">
          <w:rPr>
            <w:rStyle w:val="Nmerodepgina"/>
            <w:noProof/>
            <w:szCs w:val="20"/>
          </w:rPr>
          <w:t>15</w:t>
        </w:r>
        <w:r w:rsidRPr="00CF0576">
          <w:rPr>
            <w:rStyle w:val="Nmerodepgina"/>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37" w:rsidRDefault="00D922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B71" w:rsidRDefault="005D1B71" w:rsidP="006A35D8">
      <w:r>
        <w:separator/>
      </w:r>
    </w:p>
  </w:footnote>
  <w:footnote w:type="continuationSeparator" w:id="0">
    <w:p w:rsidR="005D1B71" w:rsidRDefault="005D1B71" w:rsidP="006A3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37" w:rsidRDefault="00D9223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B71" w:rsidRDefault="005D1B71" w:rsidP="006A35D8">
    <w:pPr>
      <w:pStyle w:val="Encabezado"/>
      <w:jc w:val="center"/>
    </w:pPr>
    <w:r>
      <w:rPr>
        <w:noProof/>
        <w:lang w:eastAsia="es-ES"/>
      </w:rPr>
      <w:drawing>
        <wp:inline distT="0" distB="0" distL="0" distR="0">
          <wp:extent cx="1248410" cy="779145"/>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8410" cy="779145"/>
                  </a:xfrm>
                  <a:prstGeom prst="rect">
                    <a:avLst/>
                  </a:prstGeom>
                  <a:noFill/>
                  <a:ln w="9525">
                    <a:noFill/>
                    <a:miter lim="800000"/>
                    <a:headEnd/>
                    <a:tailEnd/>
                  </a:ln>
                </pic:spPr>
              </pic:pic>
            </a:graphicData>
          </a:graphic>
        </wp:inline>
      </w:drawing>
    </w:r>
    <w:r w:rsidRPr="002D3467">
      <w:rPr>
        <w:rFonts w:ascii="Times New Roman" w:hAnsi="Times New Roman"/>
        <w:snapToGrid w:val="0"/>
        <w:color w:val="000000"/>
        <w:w w:val="0"/>
        <w:sz w:val="0"/>
        <w:szCs w:val="0"/>
        <w:u w:color="000000"/>
        <w:bdr w:val="none" w:sz="0" w:space="0" w:color="000000"/>
        <w:shd w:val="clear" w:color="000000" w:fill="000000"/>
      </w:rPr>
      <w:t xml:space="preserve"> </w:t>
    </w:r>
  </w:p>
  <w:p w:rsidR="005D1B71" w:rsidRDefault="005D1B71" w:rsidP="006A35D8">
    <w:pPr>
      <w:pStyle w:val="Encabezado"/>
      <w:jc w:val="center"/>
    </w:pPr>
  </w:p>
  <w:p w:rsidR="005D1B71" w:rsidRDefault="005D1B71" w:rsidP="006A35D8">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37" w:rsidRDefault="00D9223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7EA"/>
    <w:multiLevelType w:val="hybridMultilevel"/>
    <w:tmpl w:val="CA442FD2"/>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635484A"/>
    <w:multiLevelType w:val="hybridMultilevel"/>
    <w:tmpl w:val="28163EA8"/>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BB01387"/>
    <w:multiLevelType w:val="hybridMultilevel"/>
    <w:tmpl w:val="C25E2A7E"/>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nsid w:val="0D9001AE"/>
    <w:multiLevelType w:val="hybridMultilevel"/>
    <w:tmpl w:val="E32A66E0"/>
    <w:lvl w:ilvl="0" w:tplc="85F46870">
      <w:start w:val="1"/>
      <w:numFmt w:val="bullet"/>
      <w:pStyle w:val="Sinespaciado"/>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1F3010"/>
    <w:multiLevelType w:val="hybridMultilevel"/>
    <w:tmpl w:val="4894C2B4"/>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26DA347A"/>
    <w:multiLevelType w:val="hybridMultilevel"/>
    <w:tmpl w:val="C5481390"/>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C4B5006"/>
    <w:multiLevelType w:val="hybridMultilevel"/>
    <w:tmpl w:val="76F29EA6"/>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nsid w:val="3F9D225F"/>
    <w:multiLevelType w:val="hybridMultilevel"/>
    <w:tmpl w:val="A112C9F0"/>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nsid w:val="528F7E6D"/>
    <w:multiLevelType w:val="hybridMultilevel"/>
    <w:tmpl w:val="E258FA08"/>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nsid w:val="5411530D"/>
    <w:multiLevelType w:val="hybridMultilevel"/>
    <w:tmpl w:val="C012E3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5CE12EE"/>
    <w:multiLevelType w:val="hybridMultilevel"/>
    <w:tmpl w:val="B2AC2228"/>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5B6924AA"/>
    <w:multiLevelType w:val="hybridMultilevel"/>
    <w:tmpl w:val="9A9830D8"/>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66CD142B"/>
    <w:multiLevelType w:val="hybridMultilevel"/>
    <w:tmpl w:val="B8BCBB74"/>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7683450E"/>
    <w:multiLevelType w:val="hybridMultilevel"/>
    <w:tmpl w:val="E12C0214"/>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11"/>
  </w:num>
  <w:num w:numId="6">
    <w:abstractNumId w:val="12"/>
  </w:num>
  <w:num w:numId="7">
    <w:abstractNumId w:val="10"/>
  </w:num>
  <w:num w:numId="8">
    <w:abstractNumId w:val="2"/>
  </w:num>
  <w:num w:numId="9">
    <w:abstractNumId w:val="1"/>
  </w:num>
  <w:num w:numId="10">
    <w:abstractNumId w:val="13"/>
  </w:num>
  <w:num w:numId="11">
    <w:abstractNumId w:val="4"/>
  </w:num>
  <w:num w:numId="12">
    <w:abstractNumId w:val="0"/>
  </w:num>
  <w:num w:numId="13">
    <w:abstractNumId w:val="5"/>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removePersonalInformation/>
  <w:removeDateAndTime/>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rsids>
    <w:rsidRoot w:val="001D037C"/>
    <w:rsid w:val="00004173"/>
    <w:rsid w:val="000111EE"/>
    <w:rsid w:val="000144E0"/>
    <w:rsid w:val="0002147B"/>
    <w:rsid w:val="00024E2D"/>
    <w:rsid w:val="00030844"/>
    <w:rsid w:val="00037398"/>
    <w:rsid w:val="0004383F"/>
    <w:rsid w:val="00044DF7"/>
    <w:rsid w:val="00081F85"/>
    <w:rsid w:val="00094419"/>
    <w:rsid w:val="0010081F"/>
    <w:rsid w:val="001103F9"/>
    <w:rsid w:val="00120342"/>
    <w:rsid w:val="00141A39"/>
    <w:rsid w:val="00175B7C"/>
    <w:rsid w:val="00185FCF"/>
    <w:rsid w:val="00197E8B"/>
    <w:rsid w:val="001C63F2"/>
    <w:rsid w:val="001C747F"/>
    <w:rsid w:val="001D037C"/>
    <w:rsid w:val="001D2C58"/>
    <w:rsid w:val="001D7BD7"/>
    <w:rsid w:val="001F0DA3"/>
    <w:rsid w:val="002059B7"/>
    <w:rsid w:val="00216695"/>
    <w:rsid w:val="00232AE1"/>
    <w:rsid w:val="00235905"/>
    <w:rsid w:val="00265165"/>
    <w:rsid w:val="00276FDB"/>
    <w:rsid w:val="002909CA"/>
    <w:rsid w:val="00297298"/>
    <w:rsid w:val="002A4986"/>
    <w:rsid w:val="002D3467"/>
    <w:rsid w:val="002E1248"/>
    <w:rsid w:val="002E366F"/>
    <w:rsid w:val="002E3C29"/>
    <w:rsid w:val="002E3DEC"/>
    <w:rsid w:val="002E5E34"/>
    <w:rsid w:val="002F67E7"/>
    <w:rsid w:val="00331275"/>
    <w:rsid w:val="003403E7"/>
    <w:rsid w:val="0035014B"/>
    <w:rsid w:val="0039498E"/>
    <w:rsid w:val="003953CA"/>
    <w:rsid w:val="003F1D3E"/>
    <w:rsid w:val="004372E7"/>
    <w:rsid w:val="00444984"/>
    <w:rsid w:val="00460B97"/>
    <w:rsid w:val="00495563"/>
    <w:rsid w:val="004B3809"/>
    <w:rsid w:val="004D1620"/>
    <w:rsid w:val="00506A94"/>
    <w:rsid w:val="00514AD0"/>
    <w:rsid w:val="005276F6"/>
    <w:rsid w:val="00527934"/>
    <w:rsid w:val="005A0258"/>
    <w:rsid w:val="005B058E"/>
    <w:rsid w:val="005B61CF"/>
    <w:rsid w:val="005C0907"/>
    <w:rsid w:val="005D1B71"/>
    <w:rsid w:val="00622EEC"/>
    <w:rsid w:val="00660838"/>
    <w:rsid w:val="006759D6"/>
    <w:rsid w:val="00682B5F"/>
    <w:rsid w:val="00686469"/>
    <w:rsid w:val="006A35D8"/>
    <w:rsid w:val="006A3909"/>
    <w:rsid w:val="006C35BA"/>
    <w:rsid w:val="006E1563"/>
    <w:rsid w:val="00712305"/>
    <w:rsid w:val="00741D2E"/>
    <w:rsid w:val="0074756B"/>
    <w:rsid w:val="00763821"/>
    <w:rsid w:val="007765B4"/>
    <w:rsid w:val="007A3BA5"/>
    <w:rsid w:val="007B622D"/>
    <w:rsid w:val="007B76C4"/>
    <w:rsid w:val="007E0631"/>
    <w:rsid w:val="007F0C1E"/>
    <w:rsid w:val="007F62B8"/>
    <w:rsid w:val="00817A2F"/>
    <w:rsid w:val="0082341C"/>
    <w:rsid w:val="0083462B"/>
    <w:rsid w:val="0085069C"/>
    <w:rsid w:val="008C3AD4"/>
    <w:rsid w:val="008C7211"/>
    <w:rsid w:val="008E1F63"/>
    <w:rsid w:val="008E20B9"/>
    <w:rsid w:val="00900D0C"/>
    <w:rsid w:val="00930434"/>
    <w:rsid w:val="009659F9"/>
    <w:rsid w:val="00973ECD"/>
    <w:rsid w:val="00976C89"/>
    <w:rsid w:val="00982605"/>
    <w:rsid w:val="00991101"/>
    <w:rsid w:val="0099764B"/>
    <w:rsid w:val="009B5396"/>
    <w:rsid w:val="009F7497"/>
    <w:rsid w:val="00A11D76"/>
    <w:rsid w:val="00A45DBD"/>
    <w:rsid w:val="00A654E5"/>
    <w:rsid w:val="00A94056"/>
    <w:rsid w:val="00A95AE0"/>
    <w:rsid w:val="00AA3F4C"/>
    <w:rsid w:val="00AD45CA"/>
    <w:rsid w:val="00AE665A"/>
    <w:rsid w:val="00B00F78"/>
    <w:rsid w:val="00B20832"/>
    <w:rsid w:val="00B6524E"/>
    <w:rsid w:val="00B9004C"/>
    <w:rsid w:val="00B91AA6"/>
    <w:rsid w:val="00BA15A5"/>
    <w:rsid w:val="00BC49DA"/>
    <w:rsid w:val="00BD0002"/>
    <w:rsid w:val="00BD0C2E"/>
    <w:rsid w:val="00C101A6"/>
    <w:rsid w:val="00C261BA"/>
    <w:rsid w:val="00C514EA"/>
    <w:rsid w:val="00C52E86"/>
    <w:rsid w:val="00C636F4"/>
    <w:rsid w:val="00C63707"/>
    <w:rsid w:val="00C83A97"/>
    <w:rsid w:val="00CC4A23"/>
    <w:rsid w:val="00CF0576"/>
    <w:rsid w:val="00D401EE"/>
    <w:rsid w:val="00D46215"/>
    <w:rsid w:val="00D53DBE"/>
    <w:rsid w:val="00D57B0C"/>
    <w:rsid w:val="00D80D14"/>
    <w:rsid w:val="00D92237"/>
    <w:rsid w:val="00DC7678"/>
    <w:rsid w:val="00DE1C65"/>
    <w:rsid w:val="00E05833"/>
    <w:rsid w:val="00E34345"/>
    <w:rsid w:val="00E61EA0"/>
    <w:rsid w:val="00E7004E"/>
    <w:rsid w:val="00E7599C"/>
    <w:rsid w:val="00E82FE1"/>
    <w:rsid w:val="00EB72B7"/>
    <w:rsid w:val="00EC00AA"/>
    <w:rsid w:val="00EC2CFC"/>
    <w:rsid w:val="00F00369"/>
    <w:rsid w:val="00F04C2B"/>
    <w:rsid w:val="00F14997"/>
    <w:rsid w:val="00F3772B"/>
    <w:rsid w:val="00F70B21"/>
    <w:rsid w:val="00F70BE9"/>
    <w:rsid w:val="00F7159E"/>
    <w:rsid w:val="00F747F0"/>
    <w:rsid w:val="00FC37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A"/>
    <w:pPr>
      <w:spacing w:after="120"/>
    </w:pPr>
    <w:rPr>
      <w:rFonts w:ascii="Calibri" w:eastAsia="Times New Roman" w:hAnsi="Calibri" w:cs="Times New Roman"/>
      <w:sz w:val="20"/>
    </w:rPr>
  </w:style>
  <w:style w:type="paragraph" w:styleId="Ttulo1">
    <w:name w:val="heading 1"/>
    <w:basedOn w:val="Normal"/>
    <w:next w:val="Normal"/>
    <w:link w:val="Ttulo1Car"/>
    <w:qFormat/>
    <w:rsid w:val="00B9004C"/>
    <w:pPr>
      <w:keepNext/>
      <w:keepLines/>
      <w:pBdr>
        <w:top w:val="single" w:sz="2" w:space="1" w:color="4F81BD"/>
        <w:left w:val="single" w:sz="2" w:space="4" w:color="4F81BD"/>
        <w:bottom w:val="single" w:sz="2" w:space="1" w:color="4F81BD"/>
        <w:right w:val="single" w:sz="2" w:space="4" w:color="4F81BD"/>
      </w:pBdr>
      <w:shd w:val="clear" w:color="auto" w:fill="548DD4" w:themeFill="text2" w:themeFillTint="99"/>
      <w:spacing w:before="480" w:line="360" w:lineRule="auto"/>
      <w:jc w:val="left"/>
      <w:outlineLvl w:val="0"/>
    </w:pPr>
    <w:rPr>
      <w:rFonts w:eastAsiaTheme="majorEastAsia" w:cstheme="majorBidi"/>
      <w:b/>
      <w:bCs/>
      <w:caps/>
      <w:color w:val="FFFFFF" w:themeColor="background1"/>
      <w:sz w:val="22"/>
    </w:rPr>
  </w:style>
  <w:style w:type="paragraph" w:styleId="Ttulo2">
    <w:name w:val="heading 2"/>
    <w:basedOn w:val="Normal"/>
    <w:next w:val="Normal"/>
    <w:link w:val="Ttulo2Car"/>
    <w:unhideWhenUsed/>
    <w:qFormat/>
    <w:rsid w:val="00B9004C"/>
    <w:pPr>
      <w:keepNext/>
      <w:pBdr>
        <w:top w:val="single" w:sz="24" w:space="0" w:color="DBE5F1"/>
        <w:left w:val="single" w:sz="24" w:space="0" w:color="DBE5F1"/>
        <w:bottom w:val="single" w:sz="24" w:space="0" w:color="DBE5F1"/>
        <w:right w:val="single" w:sz="24" w:space="0" w:color="DBE5F1"/>
      </w:pBdr>
      <w:shd w:val="clear" w:color="auto" w:fill="DBE5F1"/>
      <w:spacing w:before="360" w:line="276" w:lineRule="auto"/>
      <w:jc w:val="left"/>
      <w:outlineLvl w:val="1"/>
    </w:pPr>
    <w:rPr>
      <w:rFonts w:cs="Calibri"/>
      <w:caps/>
      <w:spacing w:val="15"/>
      <w:sz w:val="22"/>
    </w:rPr>
  </w:style>
  <w:style w:type="paragraph" w:styleId="Ttulo3">
    <w:name w:val="heading 3"/>
    <w:basedOn w:val="Normal"/>
    <w:next w:val="Normal"/>
    <w:link w:val="Ttulo3Car"/>
    <w:unhideWhenUsed/>
    <w:qFormat/>
    <w:rsid w:val="004372E7"/>
    <w:pPr>
      <w:keepNext/>
      <w:keepLines/>
      <w:spacing w:before="200" w:beforeAutospacing="1" w:afterAutospacing="1" w:line="360" w:lineRule="auto"/>
      <w:jc w:val="left"/>
      <w:outlineLvl w:val="2"/>
    </w:pPr>
    <w:rPr>
      <w:rFonts w:eastAsiaTheme="majorEastAsia" w:cstheme="majorBidi"/>
      <w:b/>
      <w:bCs/>
      <w:i/>
    </w:rPr>
  </w:style>
  <w:style w:type="paragraph" w:styleId="Ttulo4">
    <w:name w:val="heading 4"/>
    <w:basedOn w:val="Normal"/>
    <w:next w:val="Normal"/>
    <w:link w:val="Ttulo4Car"/>
    <w:qFormat/>
    <w:rsid w:val="00185FCF"/>
    <w:pPr>
      <w:keepNext/>
      <w:tabs>
        <w:tab w:val="num" w:pos="864"/>
      </w:tabs>
      <w:spacing w:before="240" w:after="60"/>
      <w:ind w:left="864" w:hanging="864"/>
      <w:outlineLvl w:val="3"/>
    </w:pPr>
    <w:rPr>
      <w:b/>
      <w:sz w:val="24"/>
      <w:szCs w:val="20"/>
      <w:lang w:eastAsia="es-ES"/>
    </w:rPr>
  </w:style>
  <w:style w:type="paragraph" w:styleId="Ttulo5">
    <w:name w:val="heading 5"/>
    <w:basedOn w:val="Normal"/>
    <w:next w:val="Normal"/>
    <w:link w:val="Ttulo5Car"/>
    <w:qFormat/>
    <w:rsid w:val="00185FCF"/>
    <w:pPr>
      <w:tabs>
        <w:tab w:val="num" w:pos="1008"/>
      </w:tabs>
      <w:spacing w:before="240" w:after="60"/>
      <w:ind w:left="1008" w:hanging="1008"/>
      <w:outlineLvl w:val="4"/>
    </w:pPr>
    <w:rPr>
      <w:sz w:val="24"/>
      <w:szCs w:val="20"/>
      <w:lang w:eastAsia="es-ES"/>
    </w:rPr>
  </w:style>
  <w:style w:type="paragraph" w:styleId="Ttulo6">
    <w:name w:val="heading 6"/>
    <w:basedOn w:val="Normal"/>
    <w:next w:val="Normal"/>
    <w:link w:val="Ttulo6Car"/>
    <w:qFormat/>
    <w:rsid w:val="00185FCF"/>
    <w:pPr>
      <w:tabs>
        <w:tab w:val="num" w:pos="1152"/>
      </w:tabs>
      <w:spacing w:before="240" w:after="60"/>
      <w:ind w:left="1152" w:hanging="1152"/>
      <w:outlineLvl w:val="5"/>
    </w:pPr>
    <w:rPr>
      <w:rFonts w:ascii="Times New Roman" w:hAnsi="Times New Roman"/>
      <w:i/>
      <w:sz w:val="24"/>
      <w:szCs w:val="20"/>
      <w:lang w:eastAsia="es-ES"/>
    </w:rPr>
  </w:style>
  <w:style w:type="paragraph" w:styleId="Ttulo7">
    <w:name w:val="heading 7"/>
    <w:basedOn w:val="Normal"/>
    <w:next w:val="Normal"/>
    <w:link w:val="Ttulo7Car"/>
    <w:qFormat/>
    <w:rsid w:val="00185FCF"/>
    <w:pPr>
      <w:tabs>
        <w:tab w:val="num" w:pos="1296"/>
      </w:tabs>
      <w:spacing w:before="240" w:after="60"/>
      <w:ind w:left="1296" w:hanging="1296"/>
      <w:outlineLvl w:val="6"/>
    </w:pPr>
    <w:rPr>
      <w:szCs w:val="20"/>
      <w:lang w:eastAsia="es-ES"/>
    </w:rPr>
  </w:style>
  <w:style w:type="paragraph" w:styleId="Ttulo8">
    <w:name w:val="heading 8"/>
    <w:basedOn w:val="Normal"/>
    <w:next w:val="Normal"/>
    <w:link w:val="Ttulo8Car"/>
    <w:qFormat/>
    <w:rsid w:val="00185FCF"/>
    <w:pPr>
      <w:tabs>
        <w:tab w:val="num" w:pos="1440"/>
      </w:tabs>
      <w:spacing w:before="240" w:after="60"/>
      <w:ind w:left="1440" w:hanging="1440"/>
      <w:outlineLvl w:val="7"/>
    </w:pPr>
    <w:rPr>
      <w:i/>
      <w:szCs w:val="20"/>
      <w:lang w:eastAsia="es-ES"/>
    </w:rPr>
  </w:style>
  <w:style w:type="paragraph" w:styleId="Ttulo9">
    <w:name w:val="heading 9"/>
    <w:basedOn w:val="Normal"/>
    <w:next w:val="Normal"/>
    <w:link w:val="Ttulo9Car"/>
    <w:qFormat/>
    <w:rsid w:val="00185FCF"/>
    <w:pPr>
      <w:tabs>
        <w:tab w:val="num" w:pos="1584"/>
      </w:tabs>
      <w:spacing w:before="240" w:after="60"/>
      <w:ind w:left="1584" w:hanging="1584"/>
      <w:outlineLvl w:val="8"/>
    </w:pPr>
    <w:rPr>
      <w:b/>
      <w:i/>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037C"/>
    <w:pPr>
      <w:ind w:left="720"/>
    </w:pPr>
    <w:rPr>
      <w:lang w:eastAsia="es-ES"/>
    </w:rPr>
  </w:style>
  <w:style w:type="character" w:styleId="Hipervnculo">
    <w:name w:val="Hyperlink"/>
    <w:basedOn w:val="Fuentedeprrafopredeter"/>
    <w:uiPriority w:val="99"/>
    <w:rsid w:val="0074756B"/>
    <w:rPr>
      <w:rFonts w:ascii="Times New Roman" w:hAnsi="Times New Roman" w:cs="Times New Roman"/>
      <w:color w:val="0000FF"/>
      <w:u w:val="single"/>
    </w:rPr>
  </w:style>
  <w:style w:type="paragraph" w:styleId="Textodeglobo">
    <w:name w:val="Balloon Text"/>
    <w:basedOn w:val="Normal"/>
    <w:link w:val="TextodegloboCar"/>
    <w:unhideWhenUsed/>
    <w:rsid w:val="002F67E7"/>
    <w:rPr>
      <w:rFonts w:ascii="Tahoma" w:hAnsi="Tahoma" w:cs="Tahoma"/>
      <w:sz w:val="16"/>
      <w:szCs w:val="16"/>
    </w:rPr>
  </w:style>
  <w:style w:type="character" w:customStyle="1" w:styleId="TextodegloboCar">
    <w:name w:val="Texto de globo Car"/>
    <w:basedOn w:val="Fuentedeprrafopredeter"/>
    <w:link w:val="Textodeglobo"/>
    <w:rsid w:val="002F67E7"/>
    <w:rPr>
      <w:rFonts w:ascii="Tahoma" w:eastAsia="Times New Roman" w:hAnsi="Tahoma" w:cs="Tahoma"/>
      <w:sz w:val="16"/>
      <w:szCs w:val="16"/>
    </w:rPr>
  </w:style>
  <w:style w:type="paragraph" w:styleId="Encabezado">
    <w:name w:val="header"/>
    <w:basedOn w:val="Normal"/>
    <w:link w:val="EncabezadoCar"/>
    <w:unhideWhenUsed/>
    <w:rsid w:val="006A35D8"/>
    <w:pPr>
      <w:tabs>
        <w:tab w:val="center" w:pos="4252"/>
        <w:tab w:val="right" w:pos="8504"/>
      </w:tabs>
    </w:pPr>
  </w:style>
  <w:style w:type="character" w:customStyle="1" w:styleId="EncabezadoCar">
    <w:name w:val="Encabezado Car"/>
    <w:basedOn w:val="Fuentedeprrafopredeter"/>
    <w:link w:val="Encabezado"/>
    <w:uiPriority w:val="99"/>
    <w:semiHidden/>
    <w:rsid w:val="006A35D8"/>
    <w:rPr>
      <w:rFonts w:ascii="Calibri" w:eastAsia="Times New Roman" w:hAnsi="Calibri" w:cs="Times New Roman"/>
    </w:rPr>
  </w:style>
  <w:style w:type="paragraph" w:styleId="Piedepgina">
    <w:name w:val="footer"/>
    <w:basedOn w:val="Normal"/>
    <w:link w:val="PiedepginaCar"/>
    <w:unhideWhenUsed/>
    <w:rsid w:val="006A35D8"/>
    <w:pPr>
      <w:tabs>
        <w:tab w:val="center" w:pos="4252"/>
        <w:tab w:val="right" w:pos="8504"/>
      </w:tabs>
    </w:pPr>
  </w:style>
  <w:style w:type="character" w:customStyle="1" w:styleId="PiedepginaCar">
    <w:name w:val="Pie de página Car"/>
    <w:basedOn w:val="Fuentedeprrafopredeter"/>
    <w:link w:val="Piedepgina"/>
    <w:uiPriority w:val="99"/>
    <w:rsid w:val="006A35D8"/>
    <w:rPr>
      <w:rFonts w:ascii="Calibri" w:eastAsia="Times New Roman" w:hAnsi="Calibri" w:cs="Times New Roman"/>
    </w:rPr>
  </w:style>
  <w:style w:type="character" w:customStyle="1" w:styleId="Ttulo3Car">
    <w:name w:val="Título 3 Car"/>
    <w:basedOn w:val="Fuentedeprrafopredeter"/>
    <w:link w:val="Ttulo3"/>
    <w:uiPriority w:val="9"/>
    <w:rsid w:val="004372E7"/>
    <w:rPr>
      <w:rFonts w:ascii="Calibri" w:eastAsiaTheme="majorEastAsia" w:hAnsi="Calibri" w:cstheme="majorBidi"/>
      <w:b/>
      <w:bCs/>
      <w:i/>
      <w:sz w:val="20"/>
    </w:rPr>
  </w:style>
  <w:style w:type="paragraph" w:styleId="Sinespaciado">
    <w:name w:val="No Spacing"/>
    <w:aliases w:val="Viñetas"/>
    <w:uiPriority w:val="1"/>
    <w:qFormat/>
    <w:rsid w:val="008C7211"/>
    <w:pPr>
      <w:numPr>
        <w:numId w:val="1"/>
      </w:numPr>
      <w:spacing w:after="120"/>
    </w:pPr>
    <w:rPr>
      <w:rFonts w:ascii="Calibri" w:eastAsia="Times New Roman" w:hAnsi="Calibri" w:cs="Times New Roman"/>
      <w:sz w:val="20"/>
    </w:rPr>
  </w:style>
  <w:style w:type="character" w:customStyle="1" w:styleId="Ttulo1Car">
    <w:name w:val="Título 1 Car"/>
    <w:basedOn w:val="Fuentedeprrafopredeter"/>
    <w:link w:val="Ttulo1"/>
    <w:uiPriority w:val="9"/>
    <w:rsid w:val="00B9004C"/>
    <w:rPr>
      <w:rFonts w:ascii="Calibri" w:eastAsiaTheme="majorEastAsia" w:hAnsi="Calibri" w:cstheme="majorBidi"/>
      <w:b/>
      <w:bCs/>
      <w:caps/>
      <w:color w:val="FFFFFF" w:themeColor="background1"/>
      <w:shd w:val="clear" w:color="auto" w:fill="548DD4" w:themeFill="text2" w:themeFillTint="99"/>
    </w:rPr>
  </w:style>
  <w:style w:type="character" w:customStyle="1" w:styleId="Ttulo2Car">
    <w:name w:val="Título 2 Car"/>
    <w:basedOn w:val="Fuentedeprrafopredeter"/>
    <w:link w:val="Ttulo2"/>
    <w:uiPriority w:val="9"/>
    <w:rsid w:val="00B9004C"/>
    <w:rPr>
      <w:rFonts w:ascii="Calibri" w:eastAsia="Times New Roman" w:hAnsi="Calibri" w:cs="Calibri"/>
      <w:caps/>
      <w:spacing w:val="15"/>
      <w:shd w:val="clear" w:color="auto" w:fill="DBE5F1"/>
    </w:rPr>
  </w:style>
  <w:style w:type="character" w:styleId="Nmerodepgina">
    <w:name w:val="page number"/>
    <w:basedOn w:val="Fuentedeprrafopredeter"/>
    <w:rsid w:val="00CF0576"/>
  </w:style>
  <w:style w:type="paragraph" w:styleId="Textonotapie">
    <w:name w:val="footnote text"/>
    <w:basedOn w:val="Normal"/>
    <w:link w:val="TextonotapieCar"/>
    <w:semiHidden/>
    <w:rsid w:val="00F747F0"/>
    <w:rPr>
      <w:rFonts w:ascii="Arial" w:hAnsi="Arial"/>
      <w:szCs w:val="20"/>
      <w:lang w:eastAsia="es-ES"/>
    </w:rPr>
  </w:style>
  <w:style w:type="character" w:customStyle="1" w:styleId="TextonotapieCar">
    <w:name w:val="Texto nota pie Car"/>
    <w:basedOn w:val="Fuentedeprrafopredeter"/>
    <w:link w:val="Textonotapie"/>
    <w:semiHidden/>
    <w:rsid w:val="00F747F0"/>
    <w:rPr>
      <w:rFonts w:ascii="Arial" w:eastAsia="Times New Roman" w:hAnsi="Arial" w:cs="Times New Roman"/>
      <w:sz w:val="20"/>
      <w:szCs w:val="20"/>
      <w:lang w:eastAsia="es-ES"/>
    </w:rPr>
  </w:style>
  <w:style w:type="character" w:styleId="Refdenotaalpie">
    <w:name w:val="footnote reference"/>
    <w:basedOn w:val="Fuentedeprrafopredeter"/>
    <w:semiHidden/>
    <w:rsid w:val="00F747F0"/>
    <w:rPr>
      <w:vertAlign w:val="superscript"/>
    </w:rPr>
  </w:style>
  <w:style w:type="paragraph" w:customStyle="1" w:styleId="Default">
    <w:name w:val="Default"/>
    <w:rsid w:val="00185FCF"/>
    <w:pPr>
      <w:autoSpaceDE w:val="0"/>
      <w:autoSpaceDN w:val="0"/>
      <w:adjustRightInd w:val="0"/>
      <w:jc w:val="left"/>
    </w:pPr>
    <w:rPr>
      <w:rFonts w:ascii="Calibri" w:hAnsi="Calibri" w:cs="Calibri"/>
      <w:color w:val="000000"/>
      <w:sz w:val="24"/>
      <w:szCs w:val="24"/>
    </w:rPr>
  </w:style>
  <w:style w:type="character" w:customStyle="1" w:styleId="Ttulo4Car">
    <w:name w:val="Título 4 Car"/>
    <w:basedOn w:val="Fuentedeprrafopredeter"/>
    <w:link w:val="Ttulo4"/>
    <w:rsid w:val="00185FCF"/>
    <w:rPr>
      <w:rFonts w:ascii="Calibri" w:eastAsia="Times New Roman" w:hAnsi="Calibri" w:cs="Times New Roman"/>
      <w:b/>
      <w:sz w:val="24"/>
      <w:szCs w:val="20"/>
      <w:lang w:eastAsia="es-ES"/>
    </w:rPr>
  </w:style>
  <w:style w:type="character" w:customStyle="1" w:styleId="Ttulo5Car">
    <w:name w:val="Título 5 Car"/>
    <w:basedOn w:val="Fuentedeprrafopredeter"/>
    <w:link w:val="Ttulo5"/>
    <w:rsid w:val="00185FCF"/>
    <w:rPr>
      <w:rFonts w:ascii="Calibri" w:eastAsia="Times New Roman" w:hAnsi="Calibri" w:cs="Times New Roman"/>
      <w:sz w:val="24"/>
      <w:szCs w:val="20"/>
      <w:lang w:eastAsia="es-ES"/>
    </w:rPr>
  </w:style>
  <w:style w:type="character" w:customStyle="1" w:styleId="Ttulo6Car">
    <w:name w:val="Título 6 Car"/>
    <w:basedOn w:val="Fuentedeprrafopredeter"/>
    <w:link w:val="Ttulo6"/>
    <w:rsid w:val="00185FCF"/>
    <w:rPr>
      <w:rFonts w:ascii="Times New Roman" w:eastAsia="Times New Roman" w:hAnsi="Times New Roman" w:cs="Times New Roman"/>
      <w:i/>
      <w:sz w:val="24"/>
      <w:szCs w:val="20"/>
      <w:lang w:eastAsia="es-ES"/>
    </w:rPr>
  </w:style>
  <w:style w:type="character" w:customStyle="1" w:styleId="Ttulo7Car">
    <w:name w:val="Título 7 Car"/>
    <w:basedOn w:val="Fuentedeprrafopredeter"/>
    <w:link w:val="Ttulo7"/>
    <w:rsid w:val="00185FCF"/>
    <w:rPr>
      <w:rFonts w:ascii="Calibri" w:eastAsia="Times New Roman" w:hAnsi="Calibri" w:cs="Times New Roman"/>
      <w:sz w:val="20"/>
      <w:szCs w:val="20"/>
      <w:lang w:eastAsia="es-ES"/>
    </w:rPr>
  </w:style>
  <w:style w:type="character" w:customStyle="1" w:styleId="Ttulo8Car">
    <w:name w:val="Título 8 Car"/>
    <w:basedOn w:val="Fuentedeprrafopredeter"/>
    <w:link w:val="Ttulo8"/>
    <w:rsid w:val="00185FCF"/>
    <w:rPr>
      <w:rFonts w:ascii="Calibri" w:eastAsia="Times New Roman" w:hAnsi="Calibri" w:cs="Times New Roman"/>
      <w:i/>
      <w:sz w:val="20"/>
      <w:szCs w:val="20"/>
      <w:lang w:eastAsia="es-ES"/>
    </w:rPr>
  </w:style>
  <w:style w:type="character" w:customStyle="1" w:styleId="Ttulo9Car">
    <w:name w:val="Título 9 Car"/>
    <w:basedOn w:val="Fuentedeprrafopredeter"/>
    <w:link w:val="Ttulo9"/>
    <w:rsid w:val="00185FCF"/>
    <w:rPr>
      <w:rFonts w:ascii="Calibri" w:eastAsia="Times New Roman" w:hAnsi="Calibri" w:cs="Times New Roman"/>
      <w:b/>
      <w:i/>
      <w:sz w:val="18"/>
      <w:szCs w:val="20"/>
      <w:lang w:eastAsia="es-ES"/>
    </w:rPr>
  </w:style>
  <w:style w:type="paragraph" w:customStyle="1" w:styleId="Negrita">
    <w:name w:val="Negrita"/>
    <w:basedOn w:val="Normal"/>
    <w:rsid w:val="00185FCF"/>
    <w:rPr>
      <w:rFonts w:ascii="TrueOptimaBold" w:hAnsi="TrueOptimaBold"/>
      <w:sz w:val="24"/>
      <w:szCs w:val="20"/>
      <w:lang w:eastAsia="es-ES"/>
    </w:rPr>
  </w:style>
  <w:style w:type="paragraph" w:styleId="TDC1">
    <w:name w:val="toc 1"/>
    <w:basedOn w:val="Normal"/>
    <w:next w:val="Normal"/>
    <w:autoRedefine/>
    <w:uiPriority w:val="39"/>
    <w:rsid w:val="00185FCF"/>
    <w:pPr>
      <w:tabs>
        <w:tab w:val="left" w:pos="426"/>
        <w:tab w:val="right" w:leader="dot" w:pos="9072"/>
      </w:tabs>
      <w:spacing w:before="120" w:after="0"/>
      <w:ind w:right="565"/>
      <w:jc w:val="left"/>
    </w:pPr>
    <w:rPr>
      <w:rFonts w:cs="Arial"/>
      <w:b/>
      <w:noProof/>
      <w:sz w:val="24"/>
      <w:lang w:eastAsia="es-ES"/>
    </w:rPr>
  </w:style>
  <w:style w:type="paragraph" w:styleId="TDC2">
    <w:name w:val="toc 2"/>
    <w:basedOn w:val="Normal"/>
    <w:next w:val="Normal"/>
    <w:autoRedefine/>
    <w:uiPriority w:val="39"/>
    <w:rsid w:val="00185FCF"/>
    <w:pPr>
      <w:tabs>
        <w:tab w:val="left" w:pos="1134"/>
        <w:tab w:val="right" w:leader="dot" w:pos="9072"/>
      </w:tabs>
      <w:spacing w:before="60" w:after="0"/>
      <w:ind w:left="567" w:right="567"/>
      <w:jc w:val="left"/>
    </w:pPr>
    <w:rPr>
      <w:noProof/>
      <w:sz w:val="22"/>
      <w:lang w:eastAsia="es-ES"/>
    </w:rPr>
  </w:style>
  <w:style w:type="paragraph" w:styleId="TDC3">
    <w:name w:val="toc 3"/>
    <w:basedOn w:val="Normal"/>
    <w:next w:val="Normal"/>
    <w:autoRedefine/>
    <w:uiPriority w:val="39"/>
    <w:rsid w:val="00185FCF"/>
    <w:pPr>
      <w:tabs>
        <w:tab w:val="left" w:pos="993"/>
        <w:tab w:val="right" w:leader="dot" w:pos="8777"/>
      </w:tabs>
      <w:spacing w:after="0"/>
      <w:ind w:left="482"/>
    </w:pPr>
    <w:rPr>
      <w:noProof/>
      <w:sz w:val="16"/>
      <w:szCs w:val="20"/>
      <w:lang w:eastAsia="es-ES"/>
    </w:rPr>
  </w:style>
  <w:style w:type="paragraph" w:styleId="TDC4">
    <w:name w:val="toc 4"/>
    <w:basedOn w:val="Normal"/>
    <w:next w:val="Normal"/>
    <w:autoRedefine/>
    <w:semiHidden/>
    <w:rsid w:val="00185FCF"/>
    <w:pPr>
      <w:ind w:left="720"/>
    </w:pPr>
    <w:rPr>
      <w:sz w:val="24"/>
      <w:szCs w:val="20"/>
      <w:lang w:eastAsia="es-ES"/>
    </w:rPr>
  </w:style>
  <w:style w:type="paragraph" w:styleId="TDC5">
    <w:name w:val="toc 5"/>
    <w:basedOn w:val="Normal"/>
    <w:next w:val="Normal"/>
    <w:autoRedefine/>
    <w:semiHidden/>
    <w:rsid w:val="00185FCF"/>
    <w:pPr>
      <w:ind w:left="960"/>
    </w:pPr>
    <w:rPr>
      <w:sz w:val="24"/>
      <w:szCs w:val="20"/>
      <w:lang w:eastAsia="es-ES"/>
    </w:rPr>
  </w:style>
  <w:style w:type="paragraph" w:styleId="TDC6">
    <w:name w:val="toc 6"/>
    <w:basedOn w:val="Normal"/>
    <w:next w:val="Normal"/>
    <w:autoRedefine/>
    <w:semiHidden/>
    <w:rsid w:val="00185FCF"/>
    <w:pPr>
      <w:ind w:left="1200"/>
    </w:pPr>
    <w:rPr>
      <w:sz w:val="24"/>
      <w:szCs w:val="20"/>
      <w:lang w:eastAsia="es-ES"/>
    </w:rPr>
  </w:style>
  <w:style w:type="paragraph" w:styleId="TDC7">
    <w:name w:val="toc 7"/>
    <w:basedOn w:val="Normal"/>
    <w:next w:val="Normal"/>
    <w:autoRedefine/>
    <w:semiHidden/>
    <w:rsid w:val="00185FCF"/>
    <w:pPr>
      <w:ind w:left="1440"/>
    </w:pPr>
    <w:rPr>
      <w:sz w:val="24"/>
      <w:szCs w:val="20"/>
      <w:lang w:eastAsia="es-ES"/>
    </w:rPr>
  </w:style>
  <w:style w:type="paragraph" w:styleId="TDC8">
    <w:name w:val="toc 8"/>
    <w:basedOn w:val="Normal"/>
    <w:next w:val="Normal"/>
    <w:autoRedefine/>
    <w:semiHidden/>
    <w:rsid w:val="00185FCF"/>
    <w:pPr>
      <w:ind w:left="1680"/>
    </w:pPr>
    <w:rPr>
      <w:sz w:val="24"/>
      <w:szCs w:val="20"/>
      <w:lang w:eastAsia="es-ES"/>
    </w:rPr>
  </w:style>
  <w:style w:type="paragraph" w:styleId="TDC9">
    <w:name w:val="toc 9"/>
    <w:basedOn w:val="Normal"/>
    <w:next w:val="Normal"/>
    <w:autoRedefine/>
    <w:semiHidden/>
    <w:rsid w:val="00185FCF"/>
    <w:pPr>
      <w:ind w:left="1920"/>
    </w:pPr>
    <w:rPr>
      <w:sz w:val="24"/>
      <w:szCs w:val="20"/>
      <w:lang w:eastAsia="es-ES"/>
    </w:rPr>
  </w:style>
  <w:style w:type="character" w:styleId="Hipervnculovisitado">
    <w:name w:val="FollowedHyperlink"/>
    <w:basedOn w:val="Fuentedeprrafopredeter"/>
    <w:rsid w:val="00185FCF"/>
    <w:rPr>
      <w:color w:val="800080"/>
      <w:u w:val="single"/>
    </w:rPr>
  </w:style>
  <w:style w:type="paragraph" w:styleId="Ttulo">
    <w:name w:val="Title"/>
    <w:basedOn w:val="Normal"/>
    <w:next w:val="Normal"/>
    <w:link w:val="TtuloCar"/>
    <w:qFormat/>
    <w:rsid w:val="00185FCF"/>
    <w:pPr>
      <w:spacing w:before="240" w:after="60"/>
      <w:jc w:val="center"/>
      <w:outlineLvl w:val="0"/>
    </w:pPr>
    <w:rPr>
      <w:rFonts w:ascii="Cambria" w:hAnsi="Cambria"/>
      <w:b/>
      <w:bCs/>
      <w:kern w:val="28"/>
      <w:sz w:val="32"/>
      <w:szCs w:val="32"/>
      <w:lang w:eastAsia="es-ES"/>
    </w:rPr>
  </w:style>
  <w:style w:type="character" w:customStyle="1" w:styleId="TtuloCar">
    <w:name w:val="Título Car"/>
    <w:basedOn w:val="Fuentedeprrafopredeter"/>
    <w:link w:val="Ttulo"/>
    <w:rsid w:val="00185FCF"/>
    <w:rPr>
      <w:rFonts w:ascii="Cambria" w:eastAsia="Times New Roman" w:hAnsi="Cambria" w:cs="Times New Roman"/>
      <w:b/>
      <w:bCs/>
      <w:kern w:val="28"/>
      <w:sz w:val="32"/>
      <w:szCs w:val="32"/>
      <w:lang w:eastAsia="es-ES"/>
    </w:rPr>
  </w:style>
  <w:style w:type="table" w:styleId="Tablaconcuadrcula">
    <w:name w:val="Table Grid"/>
    <w:basedOn w:val="Tablanormal"/>
    <w:rsid w:val="00185FCF"/>
    <w:pPr>
      <w:jc w:val="left"/>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85FCF"/>
    <w:pPr>
      <w:spacing w:before="100" w:beforeAutospacing="1" w:after="100" w:afterAutospacing="1"/>
    </w:pPr>
    <w:rPr>
      <w:rFonts w:ascii="Verdana" w:hAnsi="Verdana"/>
      <w:sz w:val="17"/>
      <w:szCs w:val="17"/>
      <w:lang w:eastAsia="es-ES"/>
    </w:rPr>
  </w:style>
  <w:style w:type="character" w:styleId="Textoennegrita">
    <w:name w:val="Strong"/>
    <w:basedOn w:val="Fuentedeprrafopredeter"/>
    <w:uiPriority w:val="99"/>
    <w:qFormat/>
    <w:rsid w:val="00185FCF"/>
    <w:rPr>
      <w:b/>
      <w:bCs/>
    </w:rPr>
  </w:style>
  <w:style w:type="character" w:customStyle="1" w:styleId="hps">
    <w:name w:val="hps"/>
    <w:basedOn w:val="Fuentedeprrafopredeter"/>
    <w:rsid w:val="00185FCF"/>
  </w:style>
</w:styles>
</file>

<file path=word/webSettings.xml><?xml version="1.0" encoding="utf-8"?>
<w:webSettings xmlns:r="http://schemas.openxmlformats.org/officeDocument/2006/relationships" xmlns:w="http://schemas.openxmlformats.org/wordprocessingml/2006/main">
  <w:divs>
    <w:div w:id="6887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cc.gov.uk/en/content/cms/news/crtf_chspeech/crtf_chspeech.aspx" TargetMode="External"/><Relationship Id="rId13" Type="http://schemas.openxmlformats.org/officeDocument/2006/relationships/hyperlink" Target="http://www.eia.gov/analysis/requests/bces12/pdf/cesbing.pdf" TargetMode="External"/><Relationship Id="rId18" Type="http://schemas.openxmlformats.org/officeDocument/2006/relationships/hyperlink" Target="http://www.synapse-energy.com/Downloads/SynapseReport.2012-05.EFC.MISO-T-and-Wind.11-086.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yiso.com/public/webdocs/newsroom/power_trends/power_trends_2012_final.pdf" TargetMode="External"/><Relationship Id="rId7" Type="http://schemas.openxmlformats.org/officeDocument/2006/relationships/endnotes" Target="endnotes.xml"/><Relationship Id="rId12" Type="http://schemas.openxmlformats.org/officeDocument/2006/relationships/hyperlink" Target="file:///\\CLBILANAS02\Regul\PRIVADO\Coordinacion\PRG\Energ&#237;a%20y%20Sociedad\Formatos\European-Residential-Energy-Price-Report-2012_final.pdf" TargetMode="External"/><Relationship Id="rId17" Type="http://schemas.openxmlformats.org/officeDocument/2006/relationships/hyperlink" Target="http://www.iso-ne.com/markets/mkt_anlys_rpts/annl_mkt_rpts/2011/2011_amr_final_051512.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n.openei.org/wiki/OpenEI:Utility_data_access_map" TargetMode="External"/><Relationship Id="rId20" Type="http://schemas.openxmlformats.org/officeDocument/2006/relationships/hyperlink" Target="http://www.cbo.gov/publication/430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c.gov.uk/assets/decc/11/stats/fuel-poverty/5270-annual-report-fuel-poverty-stats-2012.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rel.gov/analysis/re_futur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legifrance.gouv.fr/affichTexte.do?dateTexte=&amp;categorieLien=id&amp;cidTexte=JORFTEXT000026018852&amp;fastPos=9&amp;fastReqId=1452631640&amp;navigator=naturetextenavigator&amp;modifier=DELIBERATION&amp;oldAction=rechExpTexteJorf" TargetMode="External"/><Relationship Id="rId19" Type="http://schemas.openxmlformats.org/officeDocument/2006/relationships/hyperlink" Target="http://www.nyiso.com/public/webdocs/services/planning/stars/Phase_2_Final_Report_4_30_2012.pdf" TargetMode="External"/><Relationship Id="rId4" Type="http://schemas.openxmlformats.org/officeDocument/2006/relationships/settings" Target="settings.xml"/><Relationship Id="rId9" Type="http://schemas.openxmlformats.org/officeDocument/2006/relationships/hyperlink" Target="http://www.bdew.de/internet.nsf/id/50AB71A14F6A34C4C12579FF00409D1B/$file/120424%20Anlage%20zur%20PM%20Hannover_Kraftwerksliste%20aktuell_englisch.pdf" TargetMode="External"/><Relationship Id="rId14" Type="http://schemas.openxmlformats.org/officeDocument/2006/relationships/hyperlink" Target="http://www.eia.gov/analysis/requests/bces12/"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BBA7C-E9D0-439B-8B86-5049B88B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7069</Words>
  <Characters>36194</Characters>
  <Application>Microsoft Office Word</Application>
  <DocSecurity>0</DocSecurity>
  <Lines>540</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2012-07-19T09:07:00Z</dcterms:created>
  <dcterms:modified xsi:type="dcterms:W3CDTF">2012-07-19T09:07:00Z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_AdHocReviewCycleID">
    <vt:i4>491425038</vt:i4>
  </property>
  <property fmtid="{D5CDD505-2E9C-101B-9397-08002B2CF9AE}" pid="4" name="_NewReviewCycle">
    <vt:lpwstr/>
  </property>
</Properties>
</file>