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1D3E" w:rsidRDefault="003429D5" w:rsidP="00030844">
      <w:pPr>
        <w:pStyle w:val="Ttulo1"/>
        <w:pBdr>
          <w:top w:val="single" w:sz="2" w:space="0" w:color="4F81BD"/>
        </w:pBdr>
        <w:tabs>
          <w:tab w:val="left" w:pos="284"/>
        </w:tabs>
      </w:pPr>
      <w:r>
        <w:t>seguimiento de noticias de regulación internacional</w:t>
      </w:r>
    </w:p>
    <w:p w:rsidR="003429D5" w:rsidRDefault="001A0253" w:rsidP="003429D5">
      <w:pPr>
        <w:jc w:val="center"/>
      </w:pPr>
      <w:r>
        <w:t>Marzo</w:t>
      </w:r>
      <w:r w:rsidR="003429D5">
        <w:t>-</w:t>
      </w:r>
      <w:r>
        <w:t>abril</w:t>
      </w:r>
      <w:r w:rsidR="00CA5D0E">
        <w:t xml:space="preserve"> 2012</w:t>
      </w:r>
    </w:p>
    <w:p w:rsidR="0083462B" w:rsidRPr="007765B4" w:rsidRDefault="003429D5" w:rsidP="007765B4">
      <w:pPr>
        <w:pStyle w:val="Ttulo2"/>
      </w:pPr>
      <w:r>
        <w:t>sumario</w:t>
      </w:r>
      <w:r w:rsidR="006A3909" w:rsidRPr="007765B4">
        <w:t xml:space="preserve">                                                                                                         </w:t>
      </w:r>
    </w:p>
    <w:p w:rsidR="001A0253" w:rsidRDefault="001A0253" w:rsidP="001A0253">
      <w:pPr>
        <w:spacing w:before="100" w:beforeAutospacing="1" w:after="100" w:afterAutospacing="1" w:line="276" w:lineRule="auto"/>
      </w:pPr>
      <w:r>
        <w:t>Se resumen las noticias sobre distintas iniciativas y novedades regulatorias dadas a conocer a lo largo del segundo bimestre del año 2012. Se introduce al final de</w:t>
      </w:r>
      <w:r w:rsidR="00B86D13">
        <w:t>l</w:t>
      </w:r>
      <w:r>
        <w:t xml:space="preserve"> documento un glosario para mejor comprensión de las abreviaturas y acrónimos empleados.</w:t>
      </w:r>
    </w:p>
    <w:p w:rsidR="00CA5D0E" w:rsidRPr="00CA5D0E" w:rsidRDefault="00B86D13" w:rsidP="001A0253">
      <w:pPr>
        <w:spacing w:before="100" w:beforeAutospacing="1" w:after="100" w:afterAutospacing="1" w:line="276" w:lineRule="auto"/>
      </w:pPr>
      <w:r>
        <w:t>E</w:t>
      </w:r>
      <w:r w:rsidR="00E46E70">
        <w:t>ste documento aborda la</w:t>
      </w:r>
      <w:r w:rsidR="001A0253">
        <w:t xml:space="preserve"> introducción del “Clean Energy Standard”, de las vicisitudes parlamentarias de la extensión de los PTC, en ambos casos en EE.UU., y de la tramitación de los principales desarrollos regulatorios comunitarios. También otorgamos atención a asuntos como la nueva normativa de renovables en Alemania e Italia, la opinión de la Autoridad de Competencia francesa </w:t>
      </w:r>
      <w:r w:rsidR="00E46E70">
        <w:t>sobre el mecanismo de capacidad</w:t>
      </w:r>
      <w:r w:rsidR="001A0253">
        <w:t xml:space="preserve"> y la propuesta de nuevas normas de ISO-NE para el despacho de renovables.</w:t>
      </w:r>
    </w:p>
    <w:p w:rsidR="000322F5" w:rsidRDefault="000322F5" w:rsidP="003429D5">
      <w:pPr>
        <w:pStyle w:val="Ttulo2"/>
      </w:pPr>
      <w:r>
        <w:t>Temas de fondo</w:t>
      </w:r>
    </w:p>
    <w:p w:rsidR="00CA5D0E" w:rsidRDefault="001A0253" w:rsidP="00E05893">
      <w:pPr>
        <w:spacing w:before="100" w:beforeAutospacing="1" w:after="100" w:afterAutospacing="1" w:line="276" w:lineRule="auto"/>
        <w:rPr>
          <w:rFonts w:eastAsiaTheme="majorEastAsia" w:cstheme="majorBidi"/>
          <w:b/>
          <w:bCs/>
          <w:i/>
        </w:rPr>
      </w:pPr>
      <w:r w:rsidRPr="001A0253">
        <w:rPr>
          <w:rFonts w:eastAsiaTheme="majorEastAsia" w:cstheme="majorBidi"/>
          <w:b/>
          <w:bCs/>
          <w:i/>
        </w:rPr>
        <w:t>Bingaman desvela su Clean Energy standard (CES)</w:t>
      </w:r>
    </w:p>
    <w:p w:rsidR="001A0253" w:rsidRDefault="001A0253" w:rsidP="001A0253">
      <w:pPr>
        <w:shd w:val="clear" w:color="auto" w:fill="FFFFFF"/>
        <w:spacing w:before="100" w:beforeAutospacing="1" w:after="100" w:afterAutospacing="1" w:line="276" w:lineRule="auto"/>
      </w:pPr>
      <w:r>
        <w:t>El pasado 1 de marzo e</w:t>
      </w:r>
      <w:r w:rsidR="00B86D13">
        <w:t>l senador d</w:t>
      </w:r>
      <w:r>
        <w:t xml:space="preserve">esvelaba la </w:t>
      </w:r>
      <w:hyperlink r:id="rId8" w:history="1">
        <w:r w:rsidRPr="00C54D29">
          <w:rPr>
            <w:rStyle w:val="Hipervnculo"/>
            <w:rFonts w:ascii="Calibri" w:hAnsi="Calibri"/>
          </w:rPr>
          <w:t>Clean Energy Standard Act de 2012</w:t>
        </w:r>
      </w:hyperlink>
      <w:r w:rsidRPr="001A0253">
        <w:t>.</w:t>
      </w:r>
      <w:r>
        <w:t>El CES propone que las grandes empresas tienen que obtener para 2015 un porcentaje de electricidad procedente de energías limpias, incluyendo renovables, gas natural, nuclear o carbono con CCS y su principal característica es que la obligación de cumplimiento estará ligada a los vendedores y no a los generadores. Según la propuesta, el CES se comenzaría a aplicar a partir de 2015, con un nivel del 24%, el cual se iría incrementando en un 3% hasta 2035. Las empresas recibirían créditos basados en la cantidad de energía cero o de bajo carbono que vendiesen. Además estarían obligadas a acumular una cantidad de créditos para cumplir con los CES o hacer pagos alternativos de 3</w:t>
      </w:r>
      <w:r w:rsidR="00B86D13">
        <w:t xml:space="preserve"> c</w:t>
      </w:r>
      <w:r>
        <w:t>$/kWh en 2015, los cuales aumentarían un 5% por encima de la inflación anualmente. Según la propuesta de Bingaman, la electricidad generada por fuentes de cero-carbono recibiría créditos por el total de la energía. La electricidad generada con gas natural o carbón con CCS recibirían créditos parciales con emisiones inferiores a los 0,82</w:t>
      </w:r>
      <w:r w:rsidR="00B86D13">
        <w:t xml:space="preserve"> </w:t>
      </w:r>
      <w:r>
        <w:t>tm/MWh. Las centrales de CHP también recibirían créditos parciales. Los créditos acumulados se podrían transferir, conservar, vender o comprar indefinidamente y el DOE crearía para ello un sistema de comercio. Los precios de los mismos estarían limitados para evitar volatilidades o costes elevados inesperados.</w:t>
      </w:r>
    </w:p>
    <w:p w:rsidR="001A0253" w:rsidRDefault="001A0253" w:rsidP="001A0253">
      <w:pPr>
        <w:shd w:val="clear" w:color="auto" w:fill="FFFFFF"/>
        <w:spacing w:before="100" w:beforeAutospacing="1" w:after="100" w:afterAutospacing="1" w:line="276" w:lineRule="auto"/>
      </w:pPr>
      <w:r>
        <w:t>Para 2015 las empresas que vendiesen menos de 2 TWh estarían exentas, y el umbral iría disminuyendo en 100 GWh al año, hasta alcanzar 1 TWh en 2025. Luego sólo el 8% de las empresas necesitarían cumplir con el CES en 2015, y un 15% en 2025. Las empresas de Alaska y Hawái quedarían exentas. Esta ley cubriría sólo la generación instalada desde 1992, excepto la nuclear e hidráulica.</w:t>
      </w:r>
    </w:p>
    <w:p w:rsidR="001A0253" w:rsidRDefault="001A0253" w:rsidP="001A0253">
      <w:pPr>
        <w:shd w:val="clear" w:color="auto" w:fill="FFFFFF"/>
        <w:spacing w:before="100" w:beforeAutospacing="1" w:after="100" w:afterAutospacing="1" w:line="276" w:lineRule="auto"/>
      </w:pPr>
      <w:r>
        <w:lastRenderedPageBreak/>
        <w:t>Pese a que esta Ley supera las previsiones propuestas anteriormente, ya que no supone un límite a las emisiones globales ni supone un coste para el gobierno, no cabe que se tramite en las cámaras, actualmente en receso previo a las elecciones presidenciales, hasta la próxima legislatura</w:t>
      </w:r>
      <w:r w:rsidR="00B86D13">
        <w:t>.</w:t>
      </w:r>
      <w:r>
        <w:t xml:space="preserve"> (EUW 05.03)</w:t>
      </w:r>
    </w:p>
    <w:p w:rsidR="001A0253" w:rsidRPr="001A0253" w:rsidRDefault="001A0253" w:rsidP="001A0253">
      <w:pPr>
        <w:shd w:val="clear" w:color="auto" w:fill="FFFFFF"/>
        <w:spacing w:before="100" w:beforeAutospacing="1" w:after="100" w:afterAutospacing="1" w:line="276" w:lineRule="auto"/>
        <w:rPr>
          <w:rFonts w:eastAsiaTheme="majorEastAsia" w:cstheme="majorBidi"/>
          <w:b/>
          <w:bCs/>
          <w:i/>
        </w:rPr>
      </w:pPr>
      <w:r w:rsidRPr="001A0253">
        <w:rPr>
          <w:rFonts w:eastAsiaTheme="majorEastAsia" w:cstheme="majorBidi"/>
          <w:b/>
          <w:bCs/>
          <w:i/>
        </w:rPr>
        <w:t>EEUU: Extensión de los PTC</w:t>
      </w:r>
    </w:p>
    <w:p w:rsidR="001A0253" w:rsidRDefault="001A0253" w:rsidP="001A0253">
      <w:pPr>
        <w:shd w:val="clear" w:color="auto" w:fill="FFFFFF"/>
        <w:spacing w:before="100" w:beforeAutospacing="1" w:after="100" w:afterAutospacing="1" w:line="276" w:lineRule="auto"/>
      </w:pPr>
      <w:r>
        <w:t>Durante este bimestre, la industria eólica ha seguido trabajando para conseguir la extensión de los PTC más allá de 2012 sin probabilidades de éxito, pero como medio para posicionar públicamente a los proponentes de las medidas.</w:t>
      </w:r>
    </w:p>
    <w:p w:rsidR="001A0253" w:rsidRDefault="001A0253" w:rsidP="001A0253">
      <w:pPr>
        <w:shd w:val="clear" w:color="auto" w:fill="FFFFFF"/>
        <w:spacing w:before="100" w:beforeAutospacing="1" w:after="100" w:afterAutospacing="1" w:line="276" w:lineRule="auto"/>
      </w:pPr>
      <w:r>
        <w:t>A primeros de marzo se intentó incluir su extensión en una ley de financiación de varias iniciativas relacionadas con el transporte. La ley incluía un apartado sobre impuestos centrados principalmente en la extensión del impuesto a la gasolina, por lo que se intentó incluir ahí la extensión de los PTC</w:t>
      </w:r>
      <w:r w:rsidR="00B86D13">
        <w:t>s</w:t>
      </w:r>
      <w:r>
        <w:t xml:space="preserve">. </w:t>
      </w:r>
      <w:r w:rsidR="00B86D13">
        <w:t>Tras llegar a un acuerdo entre republicanos y d</w:t>
      </w:r>
      <w:r>
        <w:t>emócratas para incluir varias enmiendas, -entre ellas la extensión de varios incentivos a las energías limpias (demócratas) y el rechazo a la extensión de determinados incentivos energéticos (republicanos) (EPD 08.03)-, en la votación no salieron adelante, por lo que la posibilidad de extender los PTC</w:t>
      </w:r>
      <w:r w:rsidR="00B86D13">
        <w:t>s</w:t>
      </w:r>
      <w:r>
        <w:t xml:space="preserve"> de eólica hasta el 1 de enero de 2014 (EPD 09.03) no se decidirá previsiblemente hasta después de las elecciones de noviembre. (REM 15.03 week 10) (RER 19.03).</w:t>
      </w:r>
    </w:p>
    <w:p w:rsidR="00CA5D0E" w:rsidRDefault="001A0253" w:rsidP="001A0253">
      <w:pPr>
        <w:shd w:val="clear" w:color="auto" w:fill="FFFFFF"/>
        <w:spacing w:before="100" w:beforeAutospacing="1" w:after="100" w:afterAutospacing="1" w:line="276" w:lineRule="auto"/>
      </w:pPr>
      <w:r>
        <w:t xml:space="preserve">A pesar de los continuos fracasos, a mediados de marzo se introdujo en el Senado otra Ley apoyada por 7 senadores de ambos partidos con el objetivo de extender los PTCs de eólica hasta enero de 2015 alegando la pérdida de 37.000 empleos de no renovarse. La ley contempla también la extensión de los PTCs a otras energías (EPD 16.03). </w:t>
      </w:r>
      <w:r w:rsidR="00B86D13">
        <w:t>Mientras, el s</w:t>
      </w:r>
      <w:r>
        <w:t>enador demócrata Harry Reid llevará a votación una legislación “Repeal of Big Oil Tax Subsidies Act 2012” para eliminar las tax breaks de las compañías petroleras además de extender los incentivos financieros a los recursos renovables y de bajas emisiones, aunque no se espera su aprobación puesto que la cámara baja está dominada por los republicanos. (EPD 22.03)</w:t>
      </w:r>
      <w:r w:rsidR="00CA5D0E">
        <w:t>.</w:t>
      </w:r>
    </w:p>
    <w:p w:rsidR="001A0253" w:rsidRDefault="001A0253" w:rsidP="001A0253">
      <w:pPr>
        <w:shd w:val="clear" w:color="auto" w:fill="FFFFFF"/>
        <w:spacing w:before="100" w:beforeAutospacing="1" w:after="100" w:afterAutospacing="1" w:line="276" w:lineRule="auto"/>
        <w:rPr>
          <w:rFonts w:eastAsiaTheme="majorEastAsia" w:cstheme="majorBidi"/>
          <w:b/>
          <w:bCs/>
          <w:i/>
        </w:rPr>
      </w:pPr>
      <w:r>
        <w:rPr>
          <w:rFonts w:eastAsiaTheme="majorEastAsia" w:cstheme="majorBidi"/>
          <w:b/>
          <w:bCs/>
          <w:i/>
        </w:rPr>
        <w:t>Temas europeos</w:t>
      </w:r>
    </w:p>
    <w:p w:rsidR="001A0253" w:rsidRPr="001A0253" w:rsidRDefault="001A0253" w:rsidP="001A0253">
      <w:pPr>
        <w:shd w:val="clear" w:color="auto" w:fill="FFFFFF"/>
        <w:spacing w:before="100" w:beforeAutospacing="1" w:after="100" w:afterAutospacing="1" w:line="276" w:lineRule="auto"/>
      </w:pPr>
      <w:r w:rsidRPr="001A0253">
        <w:t>En el mes de abril se celebró el Consejo Europeo de Primavera, centrado en asuntos económicos y de competencia, en el cual se hicieron algunas referencias a los temas energéticos. El Consejo pidió alcanzar un</w:t>
      </w:r>
      <w:r w:rsidR="00D01B75">
        <w:t xml:space="preserve"> acuerdo sobre la Directiva de e</w:t>
      </w:r>
      <w:r w:rsidRPr="001A0253">
        <w:t xml:space="preserve">ficiencia energética antes de fines de junio, recordando que el mercado único debe concluirse en 2014, además de insistir en la necesidad de impulsar la Directiva sobre </w:t>
      </w:r>
      <w:r w:rsidR="00D01B75">
        <w:t>i</w:t>
      </w:r>
      <w:r w:rsidRPr="001A0253">
        <w:t>mpuestos energéticos. Además no se ha alcanzado un acuerdo con Polonia para establecer hitos intermedios en la reducción de emisiones, por lo que siguen las cosas como estaban. En otro orden de cosas, la CE ha enviado dictámenes motivados a Finlandia, Grecia y Polonia por la no tr</w:t>
      </w:r>
      <w:r w:rsidR="00D01B75">
        <w:t>ansposición de la Directiva de r</w:t>
      </w:r>
      <w:r w:rsidRPr="001A0253">
        <w:t>enovables.</w:t>
      </w:r>
    </w:p>
    <w:p w:rsidR="001A0253" w:rsidRDefault="001A0253" w:rsidP="001A0253">
      <w:pPr>
        <w:shd w:val="clear" w:color="auto" w:fill="FFFFFF"/>
        <w:spacing w:before="100" w:beforeAutospacing="1" w:after="100" w:afterAutospacing="1" w:line="276" w:lineRule="auto"/>
      </w:pPr>
      <w:r w:rsidRPr="001A0253">
        <w:t>En cuanto al Reglamento de infraestructuras, se ha empezado a trabajar sobre el mismo en el Comité ITRE del Parlamento Europeo,</w:t>
      </w:r>
      <w:r w:rsidR="00D01B75">
        <w:t xml:space="preserve"> y en cuanto a la Directiva de i</w:t>
      </w:r>
      <w:r w:rsidRPr="001A0253">
        <w:t>mpuestos energéticos, el Parlamento ha dado su opinión sobre la misma, pero visto que es una iniciativa del Consejo, habrá que esperar a que éste toma la decisión final.</w:t>
      </w:r>
    </w:p>
    <w:p w:rsidR="000322F5" w:rsidRPr="000C2356" w:rsidRDefault="000322F5" w:rsidP="003429D5">
      <w:pPr>
        <w:pStyle w:val="Ttulo2"/>
      </w:pPr>
      <w:r>
        <w:lastRenderedPageBreak/>
        <w:t>Otras cuestiones de interés</w:t>
      </w:r>
    </w:p>
    <w:p w:rsidR="000322F5" w:rsidRDefault="002A4637" w:rsidP="003429D5">
      <w:pPr>
        <w:pStyle w:val="Ttulo3"/>
        <w:rPr>
          <w:lang w:val="es-ES_tradnl"/>
        </w:rPr>
      </w:pPr>
      <w:r w:rsidRPr="002A4637">
        <w:rPr>
          <w:lang w:val="es-ES_tradnl"/>
        </w:rPr>
        <w:t>Europa – Energías Renovables, emisiones, eficiencia y otros temas de medio ambiente</w:t>
      </w:r>
    </w:p>
    <w:p w:rsidR="00E05893" w:rsidRDefault="00D01B75" w:rsidP="00E05893">
      <w:pPr>
        <w:numPr>
          <w:ilvl w:val="0"/>
          <w:numId w:val="2"/>
        </w:numPr>
        <w:spacing w:before="100" w:beforeAutospacing="1" w:line="276" w:lineRule="auto"/>
      </w:pPr>
      <w:r>
        <w:rPr>
          <w:b/>
          <w:szCs w:val="24"/>
          <w:lang w:val="es-ES_tradnl"/>
        </w:rPr>
        <w:t>El Parlamento E</w:t>
      </w:r>
      <w:r w:rsidR="00BC5AFF" w:rsidRPr="00BC5AFF">
        <w:rPr>
          <w:b/>
          <w:szCs w:val="24"/>
          <w:lang w:val="es-ES_tradnl"/>
        </w:rPr>
        <w:t>uropeo confiere poderes a la CE para que negocie acuerdos energéticos a nivel intergubernamental.</w:t>
      </w:r>
      <w:r w:rsidR="00BC5AFF">
        <w:rPr>
          <w:b/>
          <w:szCs w:val="24"/>
          <w:lang w:val="es-ES_tradnl"/>
        </w:rPr>
        <w:t xml:space="preserve"> </w:t>
      </w:r>
      <w:r w:rsidR="00BC5AFF" w:rsidRPr="00BC5AFF">
        <w:rPr>
          <w:szCs w:val="24"/>
          <w:lang w:val="es-ES_tradnl"/>
        </w:rPr>
        <w:t>La CE podrá negociar acuerdos entre un país de la UE y países suministradores ajenos a la UE, para que se pueda desarrollar una política energética común y una mayor coordinación entre países</w:t>
      </w:r>
      <w:r w:rsidR="00B86D13">
        <w:rPr>
          <w:szCs w:val="24"/>
          <w:lang w:val="es-ES_tradnl"/>
        </w:rPr>
        <w:t xml:space="preserve"> </w:t>
      </w:r>
      <w:r w:rsidR="00BC5AFF" w:rsidRPr="00BC5AFF">
        <w:rPr>
          <w:szCs w:val="24"/>
          <w:lang w:val="es-ES_tradnl"/>
        </w:rPr>
        <w:t xml:space="preserve">(EUE 09.03). </w:t>
      </w:r>
      <w:r w:rsidR="00BC5AFF" w:rsidRPr="00BC5AFF">
        <w:rPr>
          <w:b/>
          <w:szCs w:val="24"/>
          <w:lang w:val="es-ES_tradnl"/>
        </w:rPr>
        <w:t>La CE negociará con Rusia y Bielorrusia el sistema energético báltico</w:t>
      </w:r>
      <w:r w:rsidR="00BC5AFF" w:rsidRPr="00BC5AFF">
        <w:rPr>
          <w:szCs w:val="24"/>
          <w:lang w:val="es-ES_tradnl"/>
        </w:rPr>
        <w:t>, para mejorar la integración en el mercado europeo de Estonia, Letonia y Lituania. (EUE 09.03)</w:t>
      </w:r>
    </w:p>
    <w:p w:rsidR="00BC5AFF" w:rsidRPr="00BC5AFF" w:rsidRDefault="00CA5D0E" w:rsidP="00BC5AFF">
      <w:pPr>
        <w:numPr>
          <w:ilvl w:val="0"/>
          <w:numId w:val="2"/>
        </w:numPr>
        <w:spacing w:before="100" w:beforeAutospacing="1" w:line="276" w:lineRule="auto"/>
      </w:pPr>
      <w:r w:rsidRPr="00BC5AFF">
        <w:rPr>
          <w:b/>
          <w:szCs w:val="24"/>
          <w:lang w:val="es-ES_tradnl"/>
        </w:rPr>
        <w:t xml:space="preserve">La </w:t>
      </w:r>
      <w:r w:rsidR="00BC5AFF" w:rsidRPr="00BC5AFF">
        <w:rPr>
          <w:b/>
          <w:szCs w:val="24"/>
          <w:lang w:val="es-ES_tradnl"/>
        </w:rPr>
        <w:t xml:space="preserve">CE envía un dictamen motivado a Finlandia, Grecia y Polonia </w:t>
      </w:r>
      <w:r w:rsidR="00BC5AFF" w:rsidRPr="00BC5AFF">
        <w:rPr>
          <w:szCs w:val="24"/>
          <w:lang w:val="es-ES_tradnl"/>
        </w:rPr>
        <w:t>por no notificar la transposición de la Directiva de energías renovables. (EUPD 23.03)</w:t>
      </w:r>
      <w:r w:rsidRPr="00BC5AFF">
        <w:rPr>
          <w:szCs w:val="24"/>
          <w:lang w:val="es-ES_tradnl"/>
        </w:rPr>
        <w:t xml:space="preserve"> </w:t>
      </w:r>
    </w:p>
    <w:p w:rsidR="00BC5AFF" w:rsidRPr="00BC5AFF" w:rsidRDefault="00BC5AFF" w:rsidP="00BC5AFF">
      <w:pPr>
        <w:numPr>
          <w:ilvl w:val="0"/>
          <w:numId w:val="2"/>
        </w:numPr>
        <w:spacing w:before="100" w:beforeAutospacing="1" w:line="276" w:lineRule="auto"/>
        <w:rPr>
          <w:szCs w:val="24"/>
          <w:lang w:val="es-ES_tradnl"/>
        </w:rPr>
      </w:pPr>
      <w:r w:rsidRPr="00BC5AFF">
        <w:rPr>
          <w:b/>
          <w:szCs w:val="24"/>
          <w:lang w:val="es-ES_tradnl"/>
        </w:rPr>
        <w:t xml:space="preserve">La industria solar alemana hace frente a reducción en los subsidios. </w:t>
      </w:r>
      <w:r w:rsidRPr="00BC5AFF">
        <w:rPr>
          <w:szCs w:val="24"/>
          <w:lang w:val="es-ES_tradnl"/>
        </w:rPr>
        <w:t>El borrador del nuevo decreto de remuneración de solar FV prevé la reducción en las primas de manera mensual, la limitación de las instalaciones a 2,5-3,5</w:t>
      </w:r>
      <w:r w:rsidR="00B86D13">
        <w:rPr>
          <w:szCs w:val="24"/>
          <w:lang w:val="es-ES_tradnl"/>
        </w:rPr>
        <w:t xml:space="preserve"> </w:t>
      </w:r>
      <w:r w:rsidRPr="00BC5AFF">
        <w:rPr>
          <w:szCs w:val="24"/>
          <w:lang w:val="es-ES_tradnl"/>
        </w:rPr>
        <w:t>GW en 2012 y 2013 además de la exclusión de los subsidios a las centrales de más de 10</w:t>
      </w:r>
      <w:r w:rsidR="00B86D13">
        <w:rPr>
          <w:szCs w:val="24"/>
          <w:lang w:val="es-ES_tradnl"/>
        </w:rPr>
        <w:t xml:space="preserve"> MW a partir de julio de 2012</w:t>
      </w:r>
      <w:r w:rsidRPr="00BC5AFF">
        <w:rPr>
          <w:szCs w:val="24"/>
          <w:lang w:val="es-ES_tradnl"/>
        </w:rPr>
        <w:t xml:space="preserve"> (RER 05.03)</w:t>
      </w:r>
      <w:r w:rsidR="00B86D13">
        <w:rPr>
          <w:szCs w:val="24"/>
          <w:lang w:val="es-ES_tradnl"/>
        </w:rPr>
        <w:t>.</w:t>
      </w:r>
      <w:r w:rsidRPr="00BC5AFF">
        <w:rPr>
          <w:szCs w:val="24"/>
          <w:lang w:val="es-ES_tradnl"/>
        </w:rPr>
        <w:t xml:space="preserve"> Se quería tener lista la modificación para el 9 de marzo, pero finalmente se retrasará su implementación pese a las protestas de la industria. La nueva ley solo permitirá que el 90% de la generación con solar PV sea elegibl</w:t>
      </w:r>
      <w:r w:rsidR="00B86D13">
        <w:rPr>
          <w:szCs w:val="24"/>
          <w:lang w:val="es-ES_tradnl"/>
        </w:rPr>
        <w:t>e para recibir el pago de 165 €</w:t>
      </w:r>
      <w:r w:rsidRPr="00BC5AFF">
        <w:rPr>
          <w:szCs w:val="24"/>
          <w:lang w:val="es-ES_tradnl"/>
        </w:rPr>
        <w:t xml:space="preserve">/MWh desde principios de 2013. El 10% restante se venderá a mercado. (RER 19.03) </w:t>
      </w:r>
    </w:p>
    <w:p w:rsidR="00BC5AFF" w:rsidRPr="00BC5AFF" w:rsidRDefault="00BC5AFF" w:rsidP="00BC5AFF">
      <w:pPr>
        <w:numPr>
          <w:ilvl w:val="0"/>
          <w:numId w:val="2"/>
        </w:numPr>
        <w:spacing w:before="100" w:beforeAutospacing="1" w:line="276" w:lineRule="auto"/>
        <w:rPr>
          <w:szCs w:val="24"/>
          <w:lang w:val="es-ES_tradnl"/>
        </w:rPr>
      </w:pPr>
      <w:r w:rsidRPr="00BC5AFF">
        <w:rPr>
          <w:b/>
          <w:szCs w:val="24"/>
          <w:lang w:val="es-ES_tradnl"/>
        </w:rPr>
        <w:t xml:space="preserve">En 2011 en Italia, la generación solar superó a la eólica, </w:t>
      </w:r>
      <w:r w:rsidRPr="00BC5AFF">
        <w:rPr>
          <w:szCs w:val="24"/>
          <w:lang w:val="es-ES_tradnl"/>
        </w:rPr>
        <w:t>con 10,73</w:t>
      </w:r>
      <w:r w:rsidR="00B86D13">
        <w:rPr>
          <w:szCs w:val="24"/>
          <w:lang w:val="es-ES_tradnl"/>
        </w:rPr>
        <w:t xml:space="preserve">  </w:t>
      </w:r>
      <w:r w:rsidRPr="00BC5AFF">
        <w:rPr>
          <w:szCs w:val="24"/>
          <w:lang w:val="es-ES_tradnl"/>
        </w:rPr>
        <w:t>TWh (1,91</w:t>
      </w:r>
      <w:r w:rsidR="00B86D13">
        <w:rPr>
          <w:szCs w:val="24"/>
          <w:lang w:val="es-ES_tradnl"/>
        </w:rPr>
        <w:t xml:space="preserve"> </w:t>
      </w:r>
      <w:r w:rsidRPr="00BC5AFF">
        <w:rPr>
          <w:szCs w:val="24"/>
          <w:lang w:val="es-ES_tradnl"/>
        </w:rPr>
        <w:t>TWh en 2010). La eólica alcanzó los 10,14</w:t>
      </w:r>
      <w:r w:rsidR="00B86D13">
        <w:rPr>
          <w:szCs w:val="24"/>
          <w:lang w:val="es-ES_tradnl"/>
        </w:rPr>
        <w:t xml:space="preserve"> </w:t>
      </w:r>
      <w:r w:rsidRPr="00BC5AFF">
        <w:rPr>
          <w:szCs w:val="24"/>
          <w:lang w:val="es-ES_tradnl"/>
        </w:rPr>
        <w:t>TWh. Italia tiene una capacidad instalada total de renovables de 41,35</w:t>
      </w:r>
      <w:r w:rsidR="00B86D13">
        <w:rPr>
          <w:szCs w:val="24"/>
          <w:lang w:val="es-ES_tradnl"/>
        </w:rPr>
        <w:t xml:space="preserve"> </w:t>
      </w:r>
      <w:r w:rsidR="00112797">
        <w:rPr>
          <w:szCs w:val="24"/>
          <w:lang w:val="es-ES_tradnl"/>
        </w:rPr>
        <w:t xml:space="preserve">GW, representando </w:t>
      </w:r>
      <w:r w:rsidRPr="00BC5AFF">
        <w:rPr>
          <w:szCs w:val="24"/>
          <w:lang w:val="es-ES_tradnl"/>
        </w:rPr>
        <w:t>la solar 12,75 GW (3,47 GW in 2010), y la e</w:t>
      </w:r>
      <w:r w:rsidR="00B86D13">
        <w:rPr>
          <w:szCs w:val="24"/>
          <w:lang w:val="es-ES_tradnl"/>
        </w:rPr>
        <w:t>ólica 6,86 GW (5,81 GW in 2010)</w:t>
      </w:r>
      <w:r w:rsidRPr="00BC5AFF">
        <w:rPr>
          <w:szCs w:val="24"/>
          <w:lang w:val="es-ES_tradnl"/>
        </w:rPr>
        <w:t xml:space="preserve"> (EUPD 07.03). Se prevé que </w:t>
      </w:r>
      <w:r w:rsidRPr="00BC5AFF">
        <w:rPr>
          <w:b/>
          <w:szCs w:val="24"/>
          <w:lang w:val="es-ES_tradnl"/>
        </w:rPr>
        <w:t>en 2012 se instalen entre 3.000 y 4.000</w:t>
      </w:r>
      <w:r w:rsidR="00B86D13">
        <w:rPr>
          <w:b/>
          <w:szCs w:val="24"/>
          <w:lang w:val="es-ES_tradnl"/>
        </w:rPr>
        <w:t xml:space="preserve"> </w:t>
      </w:r>
      <w:r w:rsidRPr="00BC5AFF">
        <w:rPr>
          <w:b/>
          <w:szCs w:val="24"/>
          <w:lang w:val="es-ES_tradnl"/>
        </w:rPr>
        <w:t xml:space="preserve">MW solares, </w:t>
      </w:r>
      <w:r w:rsidRPr="00BC5AFF">
        <w:rPr>
          <w:szCs w:val="24"/>
          <w:lang w:val="es-ES_tradnl"/>
        </w:rPr>
        <w:t>frente a los 9.000</w:t>
      </w:r>
      <w:r w:rsidR="00B86D13">
        <w:rPr>
          <w:szCs w:val="24"/>
          <w:lang w:val="es-ES_tradnl"/>
        </w:rPr>
        <w:t xml:space="preserve"> MW de 2011</w:t>
      </w:r>
      <w:r w:rsidRPr="00BC5AFF">
        <w:rPr>
          <w:szCs w:val="24"/>
          <w:lang w:val="es-ES_tradnl"/>
        </w:rPr>
        <w:t xml:space="preserve"> (REM week 9). Los incentivos para el sector se basan en una capacidad instalada de 23</w:t>
      </w:r>
      <w:r w:rsidR="00B86D13">
        <w:rPr>
          <w:szCs w:val="24"/>
          <w:lang w:val="es-ES_tradnl"/>
        </w:rPr>
        <w:t xml:space="preserve"> </w:t>
      </w:r>
      <w:r w:rsidRPr="00BC5AFF">
        <w:rPr>
          <w:szCs w:val="24"/>
          <w:lang w:val="es-ES_tradnl"/>
        </w:rPr>
        <w:t>GW y un techo de gasto estimado en 6-7.000</w:t>
      </w:r>
      <w:r w:rsidR="00B86D13">
        <w:rPr>
          <w:szCs w:val="24"/>
          <w:lang w:val="es-ES_tradnl"/>
        </w:rPr>
        <w:t xml:space="preserve"> </w:t>
      </w:r>
      <w:r w:rsidR="004020EF">
        <w:rPr>
          <w:szCs w:val="24"/>
          <w:lang w:val="es-ES_tradnl"/>
        </w:rPr>
        <w:t>millones de €</w:t>
      </w:r>
      <w:r w:rsidRPr="00BC5AFF">
        <w:rPr>
          <w:szCs w:val="24"/>
          <w:lang w:val="es-ES_tradnl"/>
        </w:rPr>
        <w:t xml:space="preserve"> anuales y </w:t>
      </w:r>
      <w:r w:rsidRPr="00BC5AFF">
        <w:rPr>
          <w:b/>
          <w:szCs w:val="24"/>
          <w:lang w:val="es-ES_tradnl"/>
        </w:rPr>
        <w:t>el gobierno quiere reducir los incentivos al haberse casi al</w:t>
      </w:r>
      <w:r w:rsidR="00B86D13">
        <w:rPr>
          <w:b/>
          <w:szCs w:val="24"/>
          <w:lang w:val="es-ES_tradnl"/>
        </w:rPr>
        <w:t>canzado el techo de gasto anual</w:t>
      </w:r>
      <w:r w:rsidRPr="00BC5AFF">
        <w:rPr>
          <w:b/>
          <w:szCs w:val="24"/>
          <w:lang w:val="es-ES_tradnl"/>
        </w:rPr>
        <w:t xml:space="preserve"> </w:t>
      </w:r>
      <w:r w:rsidRPr="00BC5AFF">
        <w:rPr>
          <w:szCs w:val="24"/>
          <w:lang w:val="es-ES_tradnl"/>
        </w:rPr>
        <w:t xml:space="preserve">(EUPD 26.03)(EUE 06.04). De esta forma, a mediados de abril el gobierno ha circulado el borrador del Quinto Conto Energia (ley de renovables), que prevé reducciones en los incentivos, especialmente a la solar FV. </w:t>
      </w:r>
    </w:p>
    <w:p w:rsidR="00BC5AFF" w:rsidRPr="00BC5AFF" w:rsidRDefault="00D01B75" w:rsidP="00BC5AFF">
      <w:pPr>
        <w:numPr>
          <w:ilvl w:val="0"/>
          <w:numId w:val="2"/>
        </w:numPr>
        <w:spacing w:before="100" w:beforeAutospacing="1" w:line="276" w:lineRule="auto"/>
        <w:rPr>
          <w:szCs w:val="24"/>
          <w:lang w:val="es-ES_tradnl"/>
        </w:rPr>
      </w:pPr>
      <w:r>
        <w:rPr>
          <w:b/>
          <w:szCs w:val="24"/>
          <w:lang w:val="es-ES_tradnl"/>
        </w:rPr>
        <w:t>La nueva l</w:t>
      </w:r>
      <w:r w:rsidR="00BC5AFF" w:rsidRPr="00BC5AFF">
        <w:rPr>
          <w:b/>
          <w:szCs w:val="24"/>
          <w:lang w:val="es-ES_tradnl"/>
        </w:rPr>
        <w:t xml:space="preserve">ey de renovables polaca se retrasa hasta 2013: </w:t>
      </w:r>
      <w:r w:rsidR="00BC5AFF" w:rsidRPr="00BC5AFF">
        <w:rPr>
          <w:szCs w:val="24"/>
          <w:lang w:val="es-ES_tradnl"/>
        </w:rPr>
        <w:t xml:space="preserve">la propuesta, presentada el pasado año, no estará lista hasta septiembre tras la incorporación de las sugerencias de la industria. Se espera la aprobación del borrador en mayo. La anterior versión incluía un endurecimiento del régimen retributivo que podría ser de carácter retroactivo (REM Week 9) (EUE 09.03), pero ahora el Gobierno estudia </w:t>
      </w:r>
      <w:r w:rsidR="00BC5AFF" w:rsidRPr="00BC5AFF">
        <w:rPr>
          <w:b/>
          <w:szCs w:val="24"/>
          <w:lang w:val="es-ES_tradnl"/>
        </w:rPr>
        <w:t xml:space="preserve">restaurar la compra de energía renovable a un precio garantizado. </w:t>
      </w:r>
      <w:r w:rsidR="00BC5AFF" w:rsidRPr="00BC5AFF">
        <w:rPr>
          <w:szCs w:val="24"/>
          <w:lang w:val="es-ES_tradnl"/>
        </w:rPr>
        <w:t xml:space="preserve">(EnergoWeek 15,18.04) </w:t>
      </w:r>
    </w:p>
    <w:p w:rsidR="00BC5AFF" w:rsidRPr="00BC5AFF" w:rsidRDefault="00BC5AFF" w:rsidP="00BC5AFF">
      <w:pPr>
        <w:numPr>
          <w:ilvl w:val="0"/>
          <w:numId w:val="2"/>
        </w:numPr>
        <w:spacing w:before="100" w:beforeAutospacing="1" w:line="276" w:lineRule="auto"/>
        <w:rPr>
          <w:szCs w:val="24"/>
          <w:lang w:val="es-ES_tradnl"/>
        </w:rPr>
      </w:pPr>
      <w:r w:rsidRPr="00BC5AFF">
        <w:rPr>
          <w:b/>
          <w:szCs w:val="24"/>
          <w:lang w:val="es-ES_tradnl"/>
        </w:rPr>
        <w:t>Rumanía confirma su voluntad de aumentar su capacidad de eólica en 1.400</w:t>
      </w:r>
      <w:r w:rsidR="00B86D13">
        <w:rPr>
          <w:b/>
          <w:szCs w:val="24"/>
          <w:lang w:val="es-ES_tradnl"/>
        </w:rPr>
        <w:t xml:space="preserve"> </w:t>
      </w:r>
      <w:r w:rsidRPr="00BC5AFF">
        <w:rPr>
          <w:b/>
          <w:szCs w:val="24"/>
          <w:lang w:val="es-ES_tradnl"/>
        </w:rPr>
        <w:t xml:space="preserve">MW en 2012, </w:t>
      </w:r>
      <w:r w:rsidRPr="00BC5AFF">
        <w:rPr>
          <w:szCs w:val="24"/>
          <w:lang w:val="es-ES_tradnl"/>
        </w:rPr>
        <w:t>desde los actuales 800</w:t>
      </w:r>
      <w:r w:rsidR="00B86D13">
        <w:rPr>
          <w:szCs w:val="24"/>
          <w:lang w:val="es-ES_tradnl"/>
        </w:rPr>
        <w:t xml:space="preserve"> </w:t>
      </w:r>
      <w:r w:rsidRPr="00BC5AFF">
        <w:rPr>
          <w:szCs w:val="24"/>
          <w:lang w:val="es-ES_tradnl"/>
        </w:rPr>
        <w:t xml:space="preserve">MW. (REM week 8) </w:t>
      </w:r>
    </w:p>
    <w:p w:rsidR="00BC5AFF" w:rsidRPr="00BC5AFF" w:rsidRDefault="00BC5AFF" w:rsidP="00BC5AFF">
      <w:pPr>
        <w:numPr>
          <w:ilvl w:val="0"/>
          <w:numId w:val="2"/>
        </w:numPr>
        <w:spacing w:before="100" w:beforeAutospacing="1" w:line="276" w:lineRule="auto"/>
        <w:rPr>
          <w:szCs w:val="24"/>
          <w:lang w:val="es-ES_tradnl"/>
        </w:rPr>
      </w:pPr>
      <w:r w:rsidRPr="00BC5AFF">
        <w:rPr>
          <w:b/>
          <w:szCs w:val="24"/>
          <w:lang w:val="es-ES_tradnl"/>
        </w:rPr>
        <w:t xml:space="preserve">Suiza aprueba su nueva estrategia energética para 2050, </w:t>
      </w:r>
      <w:r w:rsidRPr="00BC5AFF">
        <w:rPr>
          <w:szCs w:val="24"/>
          <w:lang w:val="es-ES_tradnl"/>
        </w:rPr>
        <w:t>la cual se basará en la promoción de renovables, eficiencia energética y centrales de gas</w:t>
      </w:r>
      <w:r w:rsidR="00B86D13">
        <w:rPr>
          <w:szCs w:val="24"/>
          <w:lang w:val="es-ES_tradnl"/>
        </w:rPr>
        <w:t>. Su coste se estima en 25.000 m</w:t>
      </w:r>
      <w:r w:rsidRPr="00BC5AFF">
        <w:rPr>
          <w:szCs w:val="24"/>
          <w:lang w:val="es-ES_tradnl"/>
        </w:rPr>
        <w:t xml:space="preserve">illones </w:t>
      </w:r>
      <w:r w:rsidR="004020EF">
        <w:rPr>
          <w:szCs w:val="24"/>
          <w:lang w:val="es-ES_tradnl"/>
        </w:rPr>
        <w:t>de €</w:t>
      </w:r>
      <w:r w:rsidRPr="00BC5AFF">
        <w:rPr>
          <w:szCs w:val="24"/>
          <w:lang w:val="es-ES_tradnl"/>
        </w:rPr>
        <w:t xml:space="preserve">. (PIE 30.04) </w:t>
      </w:r>
    </w:p>
    <w:p w:rsidR="00BC5AFF" w:rsidRPr="00BC5AFF" w:rsidRDefault="00BC5AFF" w:rsidP="00BC5AFF">
      <w:pPr>
        <w:numPr>
          <w:ilvl w:val="0"/>
          <w:numId w:val="2"/>
        </w:numPr>
        <w:spacing w:before="100" w:beforeAutospacing="1" w:line="276" w:lineRule="auto"/>
        <w:rPr>
          <w:szCs w:val="24"/>
          <w:lang w:val="es-ES_tradnl"/>
        </w:rPr>
      </w:pPr>
      <w:r w:rsidRPr="00BC5AFF">
        <w:rPr>
          <w:b/>
          <w:szCs w:val="24"/>
          <w:lang w:val="es-ES_tradnl"/>
        </w:rPr>
        <w:t xml:space="preserve">El gobierno suizo reduce las feed in tariff a partir del 1 de marzo: </w:t>
      </w:r>
      <w:r w:rsidRPr="00BC5AFF">
        <w:rPr>
          <w:szCs w:val="24"/>
          <w:lang w:val="es-ES_tradnl"/>
        </w:rPr>
        <w:t xml:space="preserve">el regulador UVEK dice que ajusta estas tarifas debido a que el mercado y los desarrollos tecnológicos afectan a los costes de </w:t>
      </w:r>
      <w:r w:rsidRPr="00BC5AFF">
        <w:rPr>
          <w:szCs w:val="24"/>
          <w:lang w:val="es-ES_tradnl"/>
        </w:rPr>
        <w:lastRenderedPageBreak/>
        <w:t>producción de la electricidad producida con renovables. El volumen máximo de l</w:t>
      </w:r>
      <w:r w:rsidR="00B86D13">
        <w:rPr>
          <w:szCs w:val="24"/>
          <w:lang w:val="es-ES_tradnl"/>
        </w:rPr>
        <w:t>a FiT eólica aumenta en 12,5 €</w:t>
      </w:r>
      <w:r w:rsidRPr="00BC5AFF">
        <w:rPr>
          <w:szCs w:val="24"/>
          <w:lang w:val="es-ES_tradnl"/>
        </w:rPr>
        <w:t>/MWh (0,015</w:t>
      </w:r>
      <w:r w:rsidR="00B86D13">
        <w:rPr>
          <w:szCs w:val="24"/>
          <w:lang w:val="es-ES_tradnl"/>
        </w:rPr>
        <w:t xml:space="preserve"> </w:t>
      </w:r>
      <w:r w:rsidRPr="00BC5AFF">
        <w:rPr>
          <w:szCs w:val="24"/>
          <w:lang w:val="es-ES_tradnl"/>
        </w:rPr>
        <w:t>CHF/kWh), y la mínima se reduce a 29</w:t>
      </w:r>
      <w:r w:rsidR="00B86D13">
        <w:rPr>
          <w:szCs w:val="24"/>
          <w:lang w:val="es-ES_tradnl"/>
        </w:rPr>
        <w:t xml:space="preserve"> €</w:t>
      </w:r>
      <w:r w:rsidRPr="00BC5AFF">
        <w:rPr>
          <w:szCs w:val="24"/>
          <w:lang w:val="es-ES_tradnl"/>
        </w:rPr>
        <w:t>/MWh (0,015</w:t>
      </w:r>
      <w:r w:rsidR="00B86D13">
        <w:rPr>
          <w:szCs w:val="24"/>
          <w:lang w:val="es-ES_tradnl"/>
        </w:rPr>
        <w:t xml:space="preserve"> </w:t>
      </w:r>
      <w:r w:rsidRPr="00BC5AFF">
        <w:rPr>
          <w:szCs w:val="24"/>
          <w:lang w:val="es-ES_tradnl"/>
        </w:rPr>
        <w:t xml:space="preserve">CHF/MWh). (GERN Nera 153) </w:t>
      </w:r>
    </w:p>
    <w:p w:rsidR="00BC5AFF" w:rsidRPr="00BC5AFF" w:rsidRDefault="00BC5AFF" w:rsidP="00BC5AFF">
      <w:pPr>
        <w:numPr>
          <w:ilvl w:val="0"/>
          <w:numId w:val="2"/>
        </w:numPr>
        <w:spacing w:before="100" w:beforeAutospacing="1" w:line="276" w:lineRule="auto"/>
        <w:rPr>
          <w:szCs w:val="24"/>
          <w:lang w:val="es-ES_tradnl"/>
        </w:rPr>
      </w:pPr>
      <w:r w:rsidRPr="00BC5AFF">
        <w:rPr>
          <w:b/>
          <w:szCs w:val="24"/>
          <w:lang w:val="es-ES_tradnl"/>
        </w:rPr>
        <w:t xml:space="preserve">Irlanda lanza su nuevo esquema de apoyo a las renovables (REFIT 2) </w:t>
      </w:r>
      <w:r w:rsidRPr="00BC5AFF">
        <w:rPr>
          <w:szCs w:val="24"/>
          <w:lang w:val="es-ES_tradnl"/>
        </w:rPr>
        <w:t xml:space="preserve">con el objetivo de agregar </w:t>
      </w:r>
      <w:r w:rsidR="00B538E9">
        <w:rPr>
          <w:szCs w:val="24"/>
          <w:lang w:val="es-ES_tradnl"/>
        </w:rPr>
        <w:t xml:space="preserve">     </w:t>
      </w:r>
      <w:r w:rsidRPr="00BC5AFF">
        <w:rPr>
          <w:szCs w:val="24"/>
          <w:lang w:val="es-ES_tradnl"/>
        </w:rPr>
        <w:t>4</w:t>
      </w:r>
      <w:r w:rsidR="00B86D13">
        <w:rPr>
          <w:szCs w:val="24"/>
          <w:lang w:val="es-ES_tradnl"/>
        </w:rPr>
        <w:t xml:space="preserve"> </w:t>
      </w:r>
      <w:r w:rsidRPr="00BC5AFF">
        <w:rPr>
          <w:szCs w:val="24"/>
          <w:lang w:val="es-ES_tradnl"/>
        </w:rPr>
        <w:t>GW de renovables en 2010-15. Esta FiT opera garantizando un precio mínimo para la electricidad exportada a la red por nuevas centrales renovables, por un periodo de 15 años. La REFIT 2, continuación de la REFIT 1, proporcionará apoyo a la eólica offshore (66,35</w:t>
      </w:r>
      <w:r w:rsidR="00B86D13">
        <w:rPr>
          <w:szCs w:val="24"/>
          <w:lang w:val="es-ES_tradnl"/>
        </w:rPr>
        <w:t xml:space="preserve"> €</w:t>
      </w:r>
      <w:r w:rsidRPr="00BC5AFF">
        <w:rPr>
          <w:szCs w:val="24"/>
          <w:lang w:val="es-ES_tradnl"/>
        </w:rPr>
        <w:t xml:space="preserve">/MWh), hidro </w:t>
      </w:r>
      <w:r w:rsidR="00B538E9">
        <w:rPr>
          <w:szCs w:val="24"/>
          <w:lang w:val="es-ES_tradnl"/>
        </w:rPr>
        <w:t xml:space="preserve">       </w:t>
      </w:r>
      <w:r w:rsidRPr="00BC5AFF">
        <w:rPr>
          <w:szCs w:val="24"/>
          <w:lang w:val="es-ES_tradnl"/>
        </w:rPr>
        <w:t>(83,81</w:t>
      </w:r>
      <w:r w:rsidR="00B86D13">
        <w:rPr>
          <w:szCs w:val="24"/>
          <w:lang w:val="es-ES_tradnl"/>
        </w:rPr>
        <w:t xml:space="preserve"> €</w:t>
      </w:r>
      <w:r w:rsidRPr="00BC5AFF">
        <w:rPr>
          <w:szCs w:val="24"/>
          <w:lang w:val="es-ES_tradnl"/>
        </w:rPr>
        <w:t>/MWh) y biomasa (81,49</w:t>
      </w:r>
      <w:r w:rsidR="00B86D13">
        <w:rPr>
          <w:szCs w:val="24"/>
          <w:lang w:val="es-ES_tradnl"/>
        </w:rPr>
        <w:t xml:space="preserve"> €</w:t>
      </w:r>
      <w:r w:rsidRPr="00BC5AFF">
        <w:rPr>
          <w:szCs w:val="24"/>
          <w:lang w:val="es-ES_tradnl"/>
        </w:rPr>
        <w:t>/MWh) con un tamaño individual máximo de 125</w:t>
      </w:r>
      <w:r w:rsidR="00B86D13">
        <w:rPr>
          <w:szCs w:val="24"/>
          <w:lang w:val="es-ES_tradnl"/>
        </w:rPr>
        <w:t xml:space="preserve"> </w:t>
      </w:r>
      <w:r w:rsidRPr="00BC5AFF">
        <w:rPr>
          <w:szCs w:val="24"/>
          <w:lang w:val="es-ES_tradnl"/>
        </w:rPr>
        <w:t xml:space="preserve">MW. (EUPD 23.03) (Citigroup 23.03) </w:t>
      </w:r>
    </w:p>
    <w:p w:rsidR="00E05893" w:rsidRPr="00BC5AFF" w:rsidRDefault="00BC5AFF" w:rsidP="00BC5AFF">
      <w:pPr>
        <w:numPr>
          <w:ilvl w:val="0"/>
          <w:numId w:val="2"/>
        </w:numPr>
        <w:spacing w:before="100" w:beforeAutospacing="1" w:line="276" w:lineRule="auto"/>
        <w:rPr>
          <w:rFonts w:eastAsiaTheme="minorHAnsi" w:cs="Calibri"/>
          <w:color w:val="000000"/>
          <w:sz w:val="23"/>
          <w:szCs w:val="23"/>
        </w:rPr>
      </w:pPr>
      <w:r w:rsidRPr="00BC5AFF">
        <w:rPr>
          <w:b/>
          <w:szCs w:val="24"/>
          <w:lang w:val="es-ES_tradnl"/>
        </w:rPr>
        <w:t xml:space="preserve">Las tres empresas de distribución búlgaras, serán las encargadas de decidir la conexión a la red de los generadores de renovables, </w:t>
      </w:r>
      <w:r w:rsidRPr="00BC5AFF">
        <w:rPr>
          <w:szCs w:val="24"/>
          <w:lang w:val="es-ES_tradnl"/>
        </w:rPr>
        <w:t>según una ley publicada el pasado 10 de abril. Con esta medida se pretende reducir el boom de proyectos renovables en el país impulsados por las altas FiT pagadas. (Energo week 15,18.04)</w:t>
      </w:r>
    </w:p>
    <w:p w:rsidR="004249E5" w:rsidRPr="004249E5" w:rsidRDefault="000322F5" w:rsidP="004249E5">
      <w:pPr>
        <w:pStyle w:val="Ttulo3"/>
        <w:rPr>
          <w:lang w:val="es-ES_tradnl"/>
        </w:rPr>
      </w:pPr>
      <w:r>
        <w:rPr>
          <w:lang w:val="es-ES_tradnl"/>
        </w:rPr>
        <w:t>Europa – Regulación y legislación</w:t>
      </w:r>
    </w:p>
    <w:p w:rsidR="00BC5AFF" w:rsidRPr="00BC5AFF" w:rsidRDefault="00B538E9" w:rsidP="00BC5AFF">
      <w:pPr>
        <w:numPr>
          <w:ilvl w:val="0"/>
          <w:numId w:val="2"/>
        </w:numPr>
        <w:spacing w:before="100" w:beforeAutospacing="1" w:line="276" w:lineRule="auto"/>
        <w:rPr>
          <w:szCs w:val="24"/>
          <w:lang w:val="es-ES_tradnl"/>
        </w:rPr>
      </w:pPr>
      <w:r>
        <w:rPr>
          <w:b/>
          <w:szCs w:val="24"/>
          <w:lang w:val="es-ES_tradnl"/>
        </w:rPr>
        <w:t>Se aprueba en Italia el d</w:t>
      </w:r>
      <w:r w:rsidR="00BC5AFF" w:rsidRPr="00BC5AFF">
        <w:rPr>
          <w:b/>
          <w:szCs w:val="24"/>
          <w:lang w:val="es-ES_tradnl"/>
        </w:rPr>
        <w:t>ecreto de liberalización el cual abre el mercado energético</w:t>
      </w:r>
      <w:r>
        <w:rPr>
          <w:szCs w:val="24"/>
          <w:lang w:val="es-ES_tradnl"/>
        </w:rPr>
        <w:t>.</w:t>
      </w:r>
      <w:r w:rsidR="00BC5AFF" w:rsidRPr="00BC5AFF">
        <w:rPr>
          <w:szCs w:val="24"/>
          <w:lang w:val="es-ES_tradnl"/>
        </w:rPr>
        <w:t xml:space="preserve"> Éste propone la separación entre ENI y Snam Rete gas, la indexación de las tarifas de gas a los precios spot europeos y cambios en la remuneración de las rede</w:t>
      </w:r>
      <w:r w:rsidR="00B86D13">
        <w:rPr>
          <w:szCs w:val="24"/>
          <w:lang w:val="es-ES_tradnl"/>
        </w:rPr>
        <w:t>s de Terna, entre otras medidas</w:t>
      </w:r>
      <w:r w:rsidR="00BC5AFF" w:rsidRPr="00BC5AFF">
        <w:rPr>
          <w:szCs w:val="24"/>
          <w:lang w:val="es-ES_tradnl"/>
        </w:rPr>
        <w:t xml:space="preserve"> (EUPD 02.03). (EUE 09.03)(EUPD 22.03)(EUE 06.04). Además</w:t>
      </w:r>
      <w:r>
        <w:rPr>
          <w:szCs w:val="24"/>
          <w:lang w:val="es-ES_tradnl"/>
        </w:rPr>
        <w:t>,</w:t>
      </w:r>
      <w:r w:rsidR="00BC5AFF" w:rsidRPr="00BC5AFF">
        <w:rPr>
          <w:szCs w:val="24"/>
          <w:lang w:val="es-ES_tradnl"/>
        </w:rPr>
        <w:t xml:space="preserve"> el pasado 16 de abril el Gobierno introdujo una tasa al CO2, cuyos detalles no se conocen aún, pero que se aplicará a los productos en función de su intensidad de carbono. (EUE 20.04) </w:t>
      </w:r>
    </w:p>
    <w:p w:rsidR="006B5DAA" w:rsidRPr="00BC5AFF" w:rsidRDefault="00BC5AFF" w:rsidP="00BC5AFF">
      <w:pPr>
        <w:numPr>
          <w:ilvl w:val="0"/>
          <w:numId w:val="2"/>
        </w:numPr>
        <w:spacing w:before="100" w:beforeAutospacing="1" w:line="276" w:lineRule="auto"/>
        <w:rPr>
          <w:szCs w:val="24"/>
          <w:lang w:val="es-ES_tradnl"/>
        </w:rPr>
      </w:pPr>
      <w:r w:rsidRPr="00BC5AFF">
        <w:rPr>
          <w:b/>
          <w:szCs w:val="24"/>
          <w:lang w:val="es-ES_tradnl"/>
        </w:rPr>
        <w:t>Rumanía da luz verde a un avance en la liberalización de sus mercados, con la aprobación del borrador de ley sobre desregulación de los mercados energéticos:</w:t>
      </w:r>
      <w:r w:rsidRPr="00BC5AFF">
        <w:rPr>
          <w:szCs w:val="24"/>
          <w:lang w:val="es-ES_tradnl"/>
        </w:rPr>
        <w:t xml:space="preserve"> el objetivo es liberalizar el mercado energético en 2013 para los industriales y en 2017 para los domésticos. Se pondrá en marcha también legislación para liberalizar el mercado del gas. (Energo week 11)</w:t>
      </w:r>
    </w:p>
    <w:p w:rsidR="000322F5" w:rsidRPr="006B5DAA" w:rsidRDefault="000322F5" w:rsidP="006B5DAA">
      <w:pPr>
        <w:pStyle w:val="Ttulo3"/>
        <w:rPr>
          <w:lang w:val="es-ES_tradnl"/>
        </w:rPr>
      </w:pPr>
      <w:r w:rsidRPr="006B5DAA">
        <w:rPr>
          <w:lang w:val="es-ES_tradnl"/>
        </w:rPr>
        <w:t xml:space="preserve">Europa – </w:t>
      </w:r>
      <w:r w:rsidR="006B5DAA">
        <w:rPr>
          <w:lang w:val="es-ES_tradnl"/>
        </w:rPr>
        <w:t>Empresas, m</w:t>
      </w:r>
      <w:r w:rsidRPr="006B5DAA">
        <w:rPr>
          <w:lang w:val="es-ES_tradnl"/>
        </w:rPr>
        <w:t>ercados</w:t>
      </w:r>
      <w:r w:rsidR="006B5DAA">
        <w:rPr>
          <w:lang w:val="es-ES_tradnl"/>
        </w:rPr>
        <w:t xml:space="preserve"> y garantía de suministro</w:t>
      </w:r>
    </w:p>
    <w:p w:rsidR="00BC5AFF" w:rsidRPr="00BC5AFF" w:rsidRDefault="00BC5AFF" w:rsidP="00BC5AFF">
      <w:pPr>
        <w:numPr>
          <w:ilvl w:val="0"/>
          <w:numId w:val="2"/>
        </w:numPr>
        <w:spacing w:before="100" w:beforeAutospacing="1" w:line="276" w:lineRule="auto"/>
        <w:rPr>
          <w:szCs w:val="24"/>
          <w:lang w:val="es-ES_tradnl"/>
        </w:rPr>
      </w:pPr>
      <w:r w:rsidRPr="00BC5AFF">
        <w:rPr>
          <w:b/>
          <w:szCs w:val="24"/>
          <w:lang w:val="es-ES_tradnl"/>
        </w:rPr>
        <w:t xml:space="preserve">El comercio intradiario entre la interconexión Noruega- Holanda comienza el 14 de marzo. </w:t>
      </w:r>
      <w:r w:rsidRPr="00B538E9">
        <w:rPr>
          <w:szCs w:val="24"/>
          <w:lang w:val="es-ES_tradnl"/>
        </w:rPr>
        <w:t>(EPD 05.03)</w:t>
      </w:r>
      <w:r w:rsidRPr="00BC5AFF">
        <w:rPr>
          <w:szCs w:val="24"/>
          <w:lang w:val="es-ES_tradnl"/>
        </w:rPr>
        <w:t xml:space="preserve"> (EUE 09.03)(EUPD 16.03) </w:t>
      </w:r>
    </w:p>
    <w:p w:rsidR="00BC5AFF" w:rsidRPr="00BC5AFF" w:rsidRDefault="00BC5AFF" w:rsidP="00BC5AFF">
      <w:pPr>
        <w:numPr>
          <w:ilvl w:val="0"/>
          <w:numId w:val="2"/>
        </w:numPr>
        <w:spacing w:before="100" w:beforeAutospacing="1" w:line="276" w:lineRule="auto"/>
        <w:rPr>
          <w:szCs w:val="24"/>
          <w:lang w:val="es-ES_tradnl"/>
        </w:rPr>
      </w:pPr>
      <w:r w:rsidRPr="00BC5AFF">
        <w:rPr>
          <w:b/>
          <w:szCs w:val="24"/>
          <w:lang w:val="es-ES_tradnl"/>
        </w:rPr>
        <w:t>Por primera vez, una bolsa de energías renovables participa en el mercado de ajustes alemán,</w:t>
      </w:r>
      <w:r w:rsidRPr="00BC5AFF">
        <w:rPr>
          <w:szCs w:val="24"/>
          <w:lang w:val="es-ES_tradnl"/>
        </w:rPr>
        <w:t xml:space="preserve"> suministrando reserva terciaria negativa. Además un operador de renovable ha obtenido licencia para proporcionar reserva secundaria. (RER 05.03) </w:t>
      </w:r>
    </w:p>
    <w:p w:rsidR="00BC5AFF" w:rsidRDefault="00BC5AFF" w:rsidP="00C057B1">
      <w:pPr>
        <w:numPr>
          <w:ilvl w:val="0"/>
          <w:numId w:val="2"/>
        </w:numPr>
        <w:spacing w:before="100" w:beforeAutospacing="1" w:line="276" w:lineRule="auto"/>
        <w:rPr>
          <w:szCs w:val="24"/>
          <w:lang w:val="es-ES_tradnl"/>
        </w:rPr>
      </w:pPr>
      <w:r w:rsidRPr="00C057B1">
        <w:rPr>
          <w:b/>
          <w:szCs w:val="24"/>
          <w:lang w:val="es-ES_tradnl"/>
        </w:rPr>
        <w:t>Francia quiere reducir los picos de consumo con tarifas de red:</w:t>
      </w:r>
      <w:r w:rsidRPr="00BC5AFF">
        <w:rPr>
          <w:szCs w:val="24"/>
          <w:lang w:val="es-ES_tradnl"/>
        </w:rPr>
        <w:t xml:space="preserve"> el regulador CRE ha lanzado una consulta pública a primeros de marzo con propuestas destinadas a animar a los consumidores a utilizar menos energía en horas punta. El aumento de las tarifas de acceso (TURPE) serviría para dar una señal de precio a los consumidores. (EUPD 08.03)(EUE 23.03)</w:t>
      </w:r>
    </w:p>
    <w:p w:rsidR="006B5DAA" w:rsidRPr="00BC5AFF" w:rsidRDefault="00BC5AFF" w:rsidP="00BC5AFF">
      <w:pPr>
        <w:numPr>
          <w:ilvl w:val="0"/>
          <w:numId w:val="2"/>
        </w:numPr>
        <w:spacing w:before="100" w:beforeAutospacing="1" w:line="276" w:lineRule="auto"/>
        <w:rPr>
          <w:szCs w:val="24"/>
          <w:lang w:val="es-ES_tradnl"/>
        </w:rPr>
      </w:pPr>
      <w:r w:rsidRPr="00C057B1">
        <w:rPr>
          <w:b/>
          <w:szCs w:val="24"/>
          <w:lang w:val="es-ES_tradnl"/>
        </w:rPr>
        <w:t>Según el operador de red, Polonia se podría enfrentar a cortes en el suministro a partir de 2016, debido sobre todo al cierre de viejas centrales de carbón</w:t>
      </w:r>
      <w:r w:rsidRPr="00BC5AFF">
        <w:rPr>
          <w:szCs w:val="24"/>
          <w:lang w:val="es-ES_tradnl"/>
        </w:rPr>
        <w:t>. El ritmo de construcción de nuevas centrales no se ajusta a la creciente demanda, que unido al cierre de 5</w:t>
      </w:r>
      <w:r w:rsidR="00B86D13">
        <w:rPr>
          <w:szCs w:val="24"/>
          <w:lang w:val="es-ES_tradnl"/>
        </w:rPr>
        <w:t xml:space="preserve"> </w:t>
      </w:r>
      <w:r w:rsidRPr="00BC5AFF">
        <w:rPr>
          <w:szCs w:val="24"/>
          <w:lang w:val="es-ES_tradnl"/>
        </w:rPr>
        <w:t xml:space="preserve">GW por cumplimiento de la </w:t>
      </w:r>
      <w:r w:rsidRPr="00BC5AFF">
        <w:rPr>
          <w:szCs w:val="24"/>
          <w:lang w:val="es-ES_tradnl"/>
        </w:rPr>
        <w:lastRenderedPageBreak/>
        <w:t xml:space="preserve">normativa europea y reducción de importaciones podría poner en peligro la seguridad de suministro. (EUE 20.04) </w:t>
      </w:r>
    </w:p>
    <w:p w:rsidR="000322F5" w:rsidRPr="006B5DAA" w:rsidRDefault="000322F5" w:rsidP="006B5DAA">
      <w:pPr>
        <w:pStyle w:val="Ttulo3"/>
        <w:rPr>
          <w:lang w:val="es-ES_tradnl"/>
        </w:rPr>
      </w:pPr>
      <w:r w:rsidRPr="006B5DAA">
        <w:rPr>
          <w:lang w:val="es-ES_tradnl"/>
        </w:rPr>
        <w:t>Europa – Tarifas, precios y protección al consumidor</w:t>
      </w:r>
    </w:p>
    <w:p w:rsidR="00C057B1" w:rsidRPr="00C057B1" w:rsidRDefault="00C057B1" w:rsidP="00C057B1">
      <w:pPr>
        <w:numPr>
          <w:ilvl w:val="0"/>
          <w:numId w:val="13"/>
        </w:numPr>
        <w:spacing w:before="100" w:beforeAutospacing="1" w:line="276" w:lineRule="auto"/>
        <w:ind w:left="284" w:hanging="284"/>
        <w:rPr>
          <w:szCs w:val="24"/>
          <w:lang w:val="es-ES_tradnl"/>
        </w:rPr>
      </w:pPr>
      <w:r w:rsidRPr="00C057B1">
        <w:rPr>
          <w:b/>
          <w:szCs w:val="24"/>
          <w:lang w:val="es-ES_tradnl"/>
        </w:rPr>
        <w:t xml:space="preserve">El Estado francés le debe a EDF 3.800 </w:t>
      </w:r>
      <w:r w:rsidR="00B86D13">
        <w:rPr>
          <w:b/>
          <w:szCs w:val="24"/>
          <w:lang w:val="es-ES_tradnl"/>
        </w:rPr>
        <w:t xml:space="preserve">millones de </w:t>
      </w:r>
      <w:r w:rsidR="004020EF">
        <w:rPr>
          <w:b/>
          <w:szCs w:val="24"/>
          <w:lang w:val="es-ES_tradnl"/>
        </w:rPr>
        <w:t>€</w:t>
      </w:r>
      <w:r w:rsidRPr="00C057B1">
        <w:rPr>
          <w:b/>
          <w:szCs w:val="24"/>
          <w:lang w:val="es-ES_tradnl"/>
        </w:rPr>
        <w:t xml:space="preserve"> en subsidios de renovables: </w:t>
      </w:r>
      <w:r w:rsidRPr="00C057B1">
        <w:rPr>
          <w:szCs w:val="24"/>
          <w:lang w:val="es-ES_tradnl"/>
        </w:rPr>
        <w:t>Los consumidores pagan estos subsidios a través del CSPE. El regulador CRE afirma que el CSPE es demasiado bajo para que EDF recupere sus costes, y se debería aumentar hasta los 20</w:t>
      </w:r>
      <w:r w:rsidR="00B86D13">
        <w:rPr>
          <w:szCs w:val="24"/>
          <w:lang w:val="es-ES_tradnl"/>
        </w:rPr>
        <w:t xml:space="preserve"> €</w:t>
      </w:r>
      <w:r w:rsidRPr="00C057B1">
        <w:rPr>
          <w:szCs w:val="24"/>
          <w:lang w:val="es-ES_tradnl"/>
        </w:rPr>
        <w:t xml:space="preserve">/MWh para 2016, lo que aumentará los precios de la energía en un 2%. (EUPD 16.03)(EUE 23.03) </w:t>
      </w:r>
    </w:p>
    <w:p w:rsidR="00C057B1" w:rsidRPr="00C057B1" w:rsidRDefault="00C057B1" w:rsidP="00C057B1">
      <w:pPr>
        <w:numPr>
          <w:ilvl w:val="0"/>
          <w:numId w:val="13"/>
        </w:numPr>
        <w:spacing w:before="100" w:beforeAutospacing="1" w:line="276" w:lineRule="auto"/>
        <w:ind w:left="284" w:hanging="284"/>
        <w:rPr>
          <w:szCs w:val="24"/>
          <w:lang w:val="es-ES_tradnl"/>
        </w:rPr>
      </w:pPr>
      <w:r w:rsidRPr="00C057B1">
        <w:rPr>
          <w:b/>
          <w:szCs w:val="24"/>
          <w:lang w:val="es-ES_tradnl"/>
        </w:rPr>
        <w:t xml:space="preserve">Alpiq, Enel, E.On y Vattenfall constituyen una nueva asociación en Francia, AFIEG, para combatir las barreras contra la competencia: </w:t>
      </w:r>
      <w:r w:rsidRPr="00C057B1">
        <w:rPr>
          <w:szCs w:val="24"/>
          <w:lang w:val="es-ES_tradnl"/>
        </w:rPr>
        <w:t xml:space="preserve">los cuatro suponen dos tercios del mercado no ocupado por EDF. Todos afirman que la apertura del mercado en Francia ha fracasado. El 85% de la energía es vendida por EDF y el resto se vende también por EDF bajo el mecanismo del ARENH dispuesto por la Ley NOME. El mercado del gas está abierto pero la complejidad del balancing unido a la dificultad de acceso a los almacenamientos, no favorece las alternativas para los consumidores. (PIE 19.03)(EUE 23.03) </w:t>
      </w:r>
    </w:p>
    <w:p w:rsidR="00C057B1" w:rsidRPr="00C057B1" w:rsidRDefault="00C057B1" w:rsidP="00C057B1">
      <w:pPr>
        <w:numPr>
          <w:ilvl w:val="0"/>
          <w:numId w:val="13"/>
        </w:numPr>
        <w:spacing w:before="100" w:beforeAutospacing="1" w:line="276" w:lineRule="auto"/>
        <w:ind w:left="284" w:hanging="284"/>
        <w:rPr>
          <w:b/>
          <w:szCs w:val="24"/>
          <w:lang w:val="es-ES_tradnl"/>
        </w:rPr>
      </w:pPr>
      <w:r w:rsidRPr="00C057B1">
        <w:rPr>
          <w:b/>
          <w:szCs w:val="24"/>
          <w:lang w:val="es-ES_tradnl"/>
        </w:rPr>
        <w:t xml:space="preserve">Italia limita sus “golden shares” en Eni y Enel. </w:t>
      </w:r>
      <w:r w:rsidRPr="00C057B1">
        <w:rPr>
          <w:szCs w:val="24"/>
          <w:lang w:val="es-ES_tradnl"/>
        </w:rPr>
        <w:t>Éstas le permitían ejercer considerables derechos de veto en ambas empresas, pudiendo bloquear cualquier adquisición de acciones de esas compañías que superasen el 5% del total del capital. En noviembre de 2011 Italia fue llevada ante el Tribunal de Justicia Europeo por este motivo. (EUE 23.03)</w:t>
      </w:r>
      <w:r w:rsidRPr="00C057B1">
        <w:rPr>
          <w:b/>
          <w:szCs w:val="24"/>
          <w:lang w:val="es-ES_tradnl"/>
        </w:rPr>
        <w:t xml:space="preserve"> </w:t>
      </w:r>
    </w:p>
    <w:p w:rsidR="00C057B1" w:rsidRPr="00C057B1" w:rsidRDefault="00C057B1" w:rsidP="00C057B1">
      <w:pPr>
        <w:numPr>
          <w:ilvl w:val="0"/>
          <w:numId w:val="13"/>
        </w:numPr>
        <w:spacing w:before="100" w:beforeAutospacing="1" w:line="276" w:lineRule="auto"/>
        <w:ind w:left="284" w:hanging="284"/>
        <w:rPr>
          <w:szCs w:val="24"/>
          <w:lang w:val="es-ES_tradnl"/>
        </w:rPr>
      </w:pPr>
      <w:r w:rsidRPr="00C057B1">
        <w:rPr>
          <w:b/>
          <w:szCs w:val="24"/>
          <w:lang w:val="es-ES_tradnl"/>
        </w:rPr>
        <w:t xml:space="preserve">Los ministros de energía italianos y suizos firman un acuerdo bilateral </w:t>
      </w:r>
      <w:r w:rsidRPr="00C057B1">
        <w:rPr>
          <w:szCs w:val="24"/>
          <w:lang w:val="es-ES_tradnl"/>
        </w:rPr>
        <w:t xml:space="preserve">para aumentar la colaboración en materia de generación energética, redes eléctricas, seguridad de suministro y comercio transfronterizo con renovables. (EUE 23.03) </w:t>
      </w:r>
    </w:p>
    <w:p w:rsidR="00C057B1" w:rsidRPr="00C057B1" w:rsidRDefault="00C057B1" w:rsidP="00C057B1">
      <w:pPr>
        <w:numPr>
          <w:ilvl w:val="0"/>
          <w:numId w:val="13"/>
        </w:numPr>
        <w:spacing w:before="100" w:beforeAutospacing="1" w:line="276" w:lineRule="auto"/>
        <w:ind w:left="284" w:hanging="284"/>
        <w:rPr>
          <w:szCs w:val="24"/>
          <w:lang w:val="es-ES_tradnl"/>
        </w:rPr>
      </w:pPr>
      <w:r w:rsidRPr="00C057B1">
        <w:rPr>
          <w:b/>
          <w:szCs w:val="24"/>
          <w:lang w:val="es-ES_tradnl"/>
        </w:rPr>
        <w:t xml:space="preserve">El gobierno alemán quiere extender los controles antimonopolio de precios hasta finales de 2017 </w:t>
      </w:r>
      <w:r w:rsidRPr="00C057B1">
        <w:rPr>
          <w:szCs w:val="24"/>
          <w:lang w:val="es-ES_tradnl"/>
        </w:rPr>
        <w:t xml:space="preserve">debido al desarrollo insuficiente de la competencia. La normativa quiere combatir las prácticas abusivas en precios en el área de suministro de gas y electricidad. (EUE 06.04) </w:t>
      </w:r>
    </w:p>
    <w:p w:rsidR="00C057B1" w:rsidRPr="00C057B1" w:rsidRDefault="00C057B1" w:rsidP="00C057B1">
      <w:pPr>
        <w:numPr>
          <w:ilvl w:val="0"/>
          <w:numId w:val="13"/>
        </w:numPr>
        <w:spacing w:before="100" w:beforeAutospacing="1" w:line="276" w:lineRule="auto"/>
        <w:ind w:left="284" w:hanging="284"/>
        <w:rPr>
          <w:szCs w:val="24"/>
          <w:lang w:val="es-ES_tradnl"/>
        </w:rPr>
      </w:pPr>
      <w:r w:rsidRPr="00C057B1">
        <w:rPr>
          <w:b/>
          <w:szCs w:val="24"/>
          <w:lang w:val="es-ES_tradnl"/>
        </w:rPr>
        <w:t xml:space="preserve">Se aprueban tarifas sociales más beneficiosas en Francia: </w:t>
      </w:r>
      <w:r w:rsidRPr="00C057B1">
        <w:rPr>
          <w:szCs w:val="24"/>
          <w:lang w:val="es-ES_tradnl"/>
        </w:rPr>
        <w:t>el 7 de marzo se aprobaron aunque llevaba en práctica desde enero. La reforma beneficia a más consumidores (1,5</w:t>
      </w:r>
      <w:r w:rsidR="00B538E9">
        <w:rPr>
          <w:szCs w:val="24"/>
          <w:lang w:val="es-ES_tradnl"/>
        </w:rPr>
        <w:t xml:space="preserve"> m </w:t>
      </w:r>
      <w:r w:rsidR="00D66ABB">
        <w:rPr>
          <w:szCs w:val="24"/>
          <w:lang w:val="es-ES_tradnl"/>
        </w:rPr>
        <w:t>illones</w:t>
      </w:r>
      <w:r w:rsidRPr="00C057B1">
        <w:rPr>
          <w:szCs w:val="24"/>
          <w:lang w:val="es-ES_tradnl"/>
        </w:rPr>
        <w:t xml:space="preserve">) y supone el descuento de 90 </w:t>
      </w:r>
      <w:r w:rsidR="00D66ABB">
        <w:rPr>
          <w:szCs w:val="24"/>
          <w:lang w:val="es-ES_tradnl"/>
        </w:rPr>
        <w:t>€</w:t>
      </w:r>
      <w:r w:rsidRPr="00C057B1">
        <w:rPr>
          <w:szCs w:val="24"/>
          <w:lang w:val="es-ES_tradnl"/>
        </w:rPr>
        <w:t xml:space="preserve"> de las facturas de electricidad y 56 </w:t>
      </w:r>
      <w:r w:rsidR="00D66ABB">
        <w:rPr>
          <w:szCs w:val="24"/>
          <w:lang w:val="es-ES_tradnl"/>
        </w:rPr>
        <w:t>€</w:t>
      </w:r>
      <w:r w:rsidRPr="00C057B1">
        <w:rPr>
          <w:szCs w:val="24"/>
          <w:lang w:val="es-ES_tradnl"/>
        </w:rPr>
        <w:t xml:space="preserve"> de las facturas de gas para determinados clientes. (EUPD 08.03) (EUE 23.03)</w:t>
      </w:r>
    </w:p>
    <w:p w:rsidR="00C057B1" w:rsidRPr="00C057B1" w:rsidRDefault="00C057B1" w:rsidP="00C057B1">
      <w:pPr>
        <w:numPr>
          <w:ilvl w:val="0"/>
          <w:numId w:val="13"/>
        </w:numPr>
        <w:spacing w:before="100" w:beforeAutospacing="1" w:line="276" w:lineRule="auto"/>
        <w:ind w:left="284" w:hanging="284"/>
        <w:rPr>
          <w:szCs w:val="24"/>
          <w:lang w:val="es-ES_tradnl"/>
        </w:rPr>
      </w:pPr>
      <w:r w:rsidRPr="00C057B1">
        <w:rPr>
          <w:b/>
          <w:szCs w:val="24"/>
          <w:lang w:val="es-ES_tradnl"/>
        </w:rPr>
        <w:t xml:space="preserve">El </w:t>
      </w:r>
      <w:hyperlink r:id="rId9" w:history="1">
        <w:r w:rsidRPr="00C54D29">
          <w:rPr>
            <w:rStyle w:val="Hipervnculo"/>
            <w:rFonts w:ascii="Calibri" w:hAnsi="Calibri"/>
            <w:b/>
            <w:szCs w:val="24"/>
            <w:lang w:val="es-ES_tradnl"/>
          </w:rPr>
          <w:t>gobierno británico</w:t>
        </w:r>
      </w:hyperlink>
      <w:r w:rsidRPr="00C057B1">
        <w:rPr>
          <w:b/>
          <w:szCs w:val="24"/>
          <w:lang w:val="es-ES_tradnl"/>
        </w:rPr>
        <w:t xml:space="preserve"> recomienda cambiar la definición de fuel poverty: </w:t>
      </w:r>
      <w:r w:rsidRPr="00C057B1">
        <w:rPr>
          <w:szCs w:val="24"/>
          <w:lang w:val="es-ES_tradnl"/>
        </w:rPr>
        <w:t xml:space="preserve">según el último informe sobre pobreza energética, cerca de 7,8 millones de personas no pudieron permitirse sus facturas energéticas en 2009. Se estima que esta cifra alcanzará los 8,1 millones en 2016. Se define pobreza energética a los hogares que gasten más de un 10% de sus ingresos en facturas energéticas. (BBC news business 15.03) </w:t>
      </w:r>
    </w:p>
    <w:p w:rsidR="006B5DAA" w:rsidRPr="00C057B1" w:rsidRDefault="00C057B1" w:rsidP="00C057B1">
      <w:pPr>
        <w:numPr>
          <w:ilvl w:val="0"/>
          <w:numId w:val="13"/>
        </w:numPr>
        <w:spacing w:before="100" w:beforeAutospacing="1" w:line="276" w:lineRule="auto"/>
        <w:ind w:left="284" w:hanging="284"/>
        <w:rPr>
          <w:b/>
          <w:szCs w:val="24"/>
          <w:lang w:val="es-ES_tradnl"/>
        </w:rPr>
      </w:pPr>
      <w:r w:rsidRPr="00C057B1">
        <w:rPr>
          <w:b/>
          <w:szCs w:val="24"/>
          <w:lang w:val="es-ES_tradnl"/>
        </w:rPr>
        <w:t xml:space="preserve">Portugal eliminará las tarifas reguladas desde el 1 de enero de 2013, </w:t>
      </w:r>
      <w:r w:rsidRPr="00C057B1">
        <w:rPr>
          <w:szCs w:val="24"/>
          <w:lang w:val="es-ES_tradnl"/>
        </w:rPr>
        <w:t>aunque para consumidores cuyo suministro es 10,35</w:t>
      </w:r>
      <w:r w:rsidR="00D66ABB">
        <w:rPr>
          <w:szCs w:val="24"/>
          <w:lang w:val="es-ES_tradnl"/>
        </w:rPr>
        <w:t xml:space="preserve"> </w:t>
      </w:r>
      <w:r w:rsidRPr="00C057B1">
        <w:rPr>
          <w:szCs w:val="24"/>
          <w:lang w:val="es-ES_tradnl"/>
        </w:rPr>
        <w:t>kVA se abolirán las tarifas el 1 de julio de 2012. La legislación establece también un régimen transitorio para los contratos continuos. (EUE 06.04)</w:t>
      </w:r>
    </w:p>
    <w:p w:rsidR="00184D46" w:rsidRPr="006B5DAA" w:rsidRDefault="000322F5" w:rsidP="006B5DAA">
      <w:pPr>
        <w:pStyle w:val="Ttulo3"/>
        <w:rPr>
          <w:lang w:val="es-ES_tradnl"/>
        </w:rPr>
      </w:pPr>
      <w:r w:rsidRPr="006B5DAA">
        <w:rPr>
          <w:lang w:val="es-ES_tradnl"/>
        </w:rPr>
        <w:lastRenderedPageBreak/>
        <w:t>Europa –Redes e infraestructuras</w:t>
      </w:r>
    </w:p>
    <w:p w:rsidR="00C057B1" w:rsidRDefault="00C057B1" w:rsidP="00C057B1">
      <w:pPr>
        <w:numPr>
          <w:ilvl w:val="0"/>
          <w:numId w:val="13"/>
        </w:numPr>
        <w:spacing w:before="100" w:beforeAutospacing="1" w:line="276" w:lineRule="auto"/>
        <w:ind w:left="284" w:hanging="284"/>
        <w:rPr>
          <w:szCs w:val="24"/>
        </w:rPr>
      </w:pPr>
      <w:r w:rsidRPr="00C057B1">
        <w:rPr>
          <w:b/>
          <w:szCs w:val="24"/>
        </w:rPr>
        <w:t>La</w:t>
      </w:r>
      <w:r w:rsidR="006B5DAA" w:rsidRPr="00C057B1">
        <w:rPr>
          <w:b/>
          <w:szCs w:val="24"/>
        </w:rPr>
        <w:t xml:space="preserve"> </w:t>
      </w:r>
      <w:r w:rsidRPr="00C057B1">
        <w:rPr>
          <w:b/>
          <w:szCs w:val="24"/>
        </w:rPr>
        <w:t>interconexión Bélgica–Gran Bretaña, estará operativa en 2018:</w:t>
      </w:r>
      <w:r w:rsidRPr="00C057B1">
        <w:rPr>
          <w:szCs w:val="24"/>
        </w:rPr>
        <w:t xml:space="preserve"> la interconexión de 1</w:t>
      </w:r>
      <w:r w:rsidR="00B538E9">
        <w:rPr>
          <w:szCs w:val="24"/>
        </w:rPr>
        <w:t xml:space="preserve"> </w:t>
      </w:r>
      <w:r w:rsidRPr="00C057B1">
        <w:rPr>
          <w:szCs w:val="24"/>
        </w:rPr>
        <w:t xml:space="preserve">GW unirá ambos mercados en 2018 asegurando la seguridad de suministro en ambos países. Esta será la tercera interconexión entre GB y la Europa continental. (EUPD 15.03)(EUE 23.03) </w:t>
      </w:r>
    </w:p>
    <w:p w:rsidR="00C057B1" w:rsidRDefault="00C057B1" w:rsidP="00C057B1">
      <w:pPr>
        <w:numPr>
          <w:ilvl w:val="0"/>
          <w:numId w:val="13"/>
        </w:numPr>
        <w:spacing w:before="100" w:beforeAutospacing="1" w:line="276" w:lineRule="auto"/>
        <w:ind w:left="284" w:hanging="284"/>
        <w:rPr>
          <w:szCs w:val="24"/>
        </w:rPr>
      </w:pPr>
      <w:r w:rsidRPr="00C057B1">
        <w:rPr>
          <w:b/>
          <w:szCs w:val="24"/>
        </w:rPr>
        <w:t>El TSO ita</w:t>
      </w:r>
      <w:r w:rsidR="00B538E9">
        <w:rPr>
          <w:b/>
          <w:szCs w:val="24"/>
        </w:rPr>
        <w:t>liano Terna invertirá 6.000 millones de</w:t>
      </w:r>
      <w:r w:rsidR="004020EF">
        <w:rPr>
          <w:b/>
          <w:szCs w:val="24"/>
        </w:rPr>
        <w:t xml:space="preserve"> €</w:t>
      </w:r>
      <w:r w:rsidRPr="00C057B1">
        <w:rPr>
          <w:b/>
          <w:szCs w:val="24"/>
        </w:rPr>
        <w:t xml:space="preserve"> hasta 2016 en mejoras de redes y otros negocios no regulados</w:t>
      </w:r>
      <w:r w:rsidRPr="00C057B1">
        <w:rPr>
          <w:szCs w:val="24"/>
        </w:rPr>
        <w:t xml:space="preserve"> como gestión de baterías. Terna modernizará y aumentará la seguridad de sus redes de transpor</w:t>
      </w:r>
      <w:r w:rsidR="001127F1">
        <w:rPr>
          <w:szCs w:val="24"/>
        </w:rPr>
        <w:t xml:space="preserve">te, además de </w:t>
      </w:r>
      <w:r w:rsidR="004020EF">
        <w:rPr>
          <w:szCs w:val="24"/>
        </w:rPr>
        <w:t>invertir 1.000 millones de €</w:t>
      </w:r>
      <w:r w:rsidRPr="00C057B1">
        <w:rPr>
          <w:szCs w:val="24"/>
        </w:rPr>
        <w:t xml:space="preserve"> en la creación de una central de almacenamiento con baterías de 240MW. (EUPD 21.03) </w:t>
      </w:r>
    </w:p>
    <w:p w:rsidR="00C057B1" w:rsidRDefault="00C057B1" w:rsidP="00C057B1">
      <w:pPr>
        <w:numPr>
          <w:ilvl w:val="0"/>
          <w:numId w:val="13"/>
        </w:numPr>
        <w:spacing w:before="100" w:beforeAutospacing="1" w:line="276" w:lineRule="auto"/>
        <w:ind w:left="284" w:hanging="284"/>
        <w:rPr>
          <w:szCs w:val="24"/>
        </w:rPr>
      </w:pPr>
      <w:r w:rsidRPr="00C057B1">
        <w:rPr>
          <w:b/>
          <w:szCs w:val="24"/>
        </w:rPr>
        <w:t>El regulador Austriaco E-Control y las autoridades europeas certifican a Austrian Power Grid (APG) como el Operador Independiente de Transporte (ITO)</w:t>
      </w:r>
      <w:r w:rsidRPr="00C057B1">
        <w:rPr>
          <w:szCs w:val="24"/>
        </w:rPr>
        <w:t xml:space="preserve"> aunque seguirá siendo empresa subsidiaria de Verbund. (Nera via E-Control,12.03) </w:t>
      </w:r>
    </w:p>
    <w:p w:rsidR="00184D46" w:rsidRPr="00C057B1" w:rsidRDefault="00C057B1" w:rsidP="00C057B1">
      <w:pPr>
        <w:numPr>
          <w:ilvl w:val="0"/>
          <w:numId w:val="13"/>
        </w:numPr>
        <w:spacing w:before="100" w:beforeAutospacing="1" w:line="276" w:lineRule="auto"/>
        <w:ind w:left="284" w:hanging="284"/>
        <w:rPr>
          <w:szCs w:val="24"/>
        </w:rPr>
      </w:pPr>
      <w:r w:rsidRPr="00C057B1">
        <w:rPr>
          <w:b/>
          <w:szCs w:val="24"/>
        </w:rPr>
        <w:t>La empresa de redes lituana Litgrid AB obligada a separar la actividad de transporte a partir del 1 de octubre</w:t>
      </w:r>
      <w:r w:rsidRPr="00C057B1">
        <w:rPr>
          <w:szCs w:val="24"/>
        </w:rPr>
        <w:t>, de modo que se cumpla lo dictado en las directivas en cuanto a la independencia del operador de redes. Litgrid esta verticalmente integrada en el grupo Visagino Atomine Elektrine UAB y es el operador de la red de transporte. (Globenewswire 06.04)</w:t>
      </w:r>
    </w:p>
    <w:p w:rsidR="000322F5" w:rsidRDefault="000322F5" w:rsidP="003429D5">
      <w:pPr>
        <w:pStyle w:val="Ttulo3"/>
        <w:rPr>
          <w:lang w:val="es-ES_tradnl"/>
        </w:rPr>
      </w:pPr>
      <w:r>
        <w:rPr>
          <w:lang w:val="es-ES_tradnl"/>
        </w:rPr>
        <w:t>Europa – Nuclear</w:t>
      </w:r>
    </w:p>
    <w:p w:rsidR="004B757F" w:rsidRPr="004B757F" w:rsidRDefault="004B757F" w:rsidP="004B757F">
      <w:pPr>
        <w:numPr>
          <w:ilvl w:val="0"/>
          <w:numId w:val="13"/>
        </w:numPr>
        <w:spacing w:before="100" w:beforeAutospacing="1" w:line="276" w:lineRule="auto"/>
        <w:ind w:left="284" w:hanging="284"/>
        <w:rPr>
          <w:szCs w:val="24"/>
          <w:lang w:val="es-ES_tradnl"/>
        </w:rPr>
      </w:pPr>
      <w:r w:rsidRPr="004B757F">
        <w:rPr>
          <w:b/>
          <w:szCs w:val="24"/>
          <w:lang w:val="es-ES_tradnl"/>
        </w:rPr>
        <w:t>Estonia, Letonia y Lituania avanzan en el acuerdo para construir la central nuclear de Visaginas:</w:t>
      </w:r>
      <w:r w:rsidRPr="004B757F">
        <w:rPr>
          <w:szCs w:val="24"/>
          <w:lang w:val="es-ES_tradnl"/>
        </w:rPr>
        <w:t xml:space="preserve"> los tres quieren que la central esté disponible para 2020-2021. El contrato de concesión se firmará antes de junio de 2012 (Energo 14.03 week 10) </w:t>
      </w:r>
    </w:p>
    <w:p w:rsidR="004B757F" w:rsidRPr="004B757F" w:rsidRDefault="004B757F" w:rsidP="004B757F">
      <w:pPr>
        <w:numPr>
          <w:ilvl w:val="0"/>
          <w:numId w:val="13"/>
        </w:numPr>
        <w:spacing w:before="100" w:beforeAutospacing="1" w:line="276" w:lineRule="auto"/>
        <w:ind w:left="284" w:hanging="284"/>
        <w:rPr>
          <w:szCs w:val="24"/>
          <w:lang w:val="es-ES_tradnl"/>
        </w:rPr>
      </w:pPr>
      <w:r w:rsidRPr="004B757F">
        <w:rPr>
          <w:b/>
          <w:szCs w:val="24"/>
          <w:lang w:val="es-ES_tradnl"/>
        </w:rPr>
        <w:t>La compañía polaca PGE lanzará una subasta nuclear en un par de meses:</w:t>
      </w:r>
      <w:r w:rsidRPr="004B757F">
        <w:rPr>
          <w:szCs w:val="24"/>
          <w:lang w:val="es-ES_tradnl"/>
        </w:rPr>
        <w:t xml:space="preserve"> la subasta busca un suministrador de tecnología para la central de 6GW que se quiere construir. Quieren tener operativo una primera fase de 3GW en 2020 y la segunda en 2030. (EUPD 15.03) </w:t>
      </w:r>
    </w:p>
    <w:p w:rsidR="004B757F" w:rsidRPr="004B757F" w:rsidRDefault="004B757F" w:rsidP="004B757F">
      <w:pPr>
        <w:numPr>
          <w:ilvl w:val="0"/>
          <w:numId w:val="13"/>
        </w:numPr>
        <w:spacing w:before="100" w:beforeAutospacing="1" w:line="276" w:lineRule="auto"/>
        <w:ind w:left="284" w:hanging="284"/>
        <w:rPr>
          <w:szCs w:val="24"/>
          <w:lang w:val="es-ES_tradnl"/>
        </w:rPr>
      </w:pPr>
      <w:r w:rsidRPr="004B757F">
        <w:rPr>
          <w:b/>
          <w:szCs w:val="24"/>
          <w:lang w:val="es-ES_tradnl"/>
        </w:rPr>
        <w:t>El gobierno finlandés retoma la introducción de una tasa a la nuclear en 2014:</w:t>
      </w:r>
      <w:r w:rsidRPr="004B757F">
        <w:rPr>
          <w:szCs w:val="24"/>
          <w:lang w:val="es-ES_tradnl"/>
        </w:rPr>
        <w:t xml:space="preserve"> los detalles aún se desconocen, pero se espera que a finales de 2012 empiece a circular una propuesta. El gobierno quiere aumentar sus ingresos y esta tasa le proporcionaría unos 170 </w:t>
      </w:r>
      <w:r w:rsidR="00B538E9">
        <w:rPr>
          <w:szCs w:val="24"/>
          <w:lang w:val="es-ES_tradnl"/>
        </w:rPr>
        <w:t>millones de</w:t>
      </w:r>
      <w:r w:rsidR="004020EF">
        <w:rPr>
          <w:szCs w:val="24"/>
          <w:lang w:val="es-ES_tradnl"/>
        </w:rPr>
        <w:t xml:space="preserve"> €</w:t>
      </w:r>
      <w:r w:rsidRPr="004B757F">
        <w:rPr>
          <w:szCs w:val="24"/>
          <w:lang w:val="es-ES_tradnl"/>
        </w:rPr>
        <w:t>. Fortum de acuerdo con su cuota de mercado, debería hacer frente al 50% de esa cantidad. (EUPD 26.03)(EUE 06.04)</w:t>
      </w:r>
    </w:p>
    <w:p w:rsidR="004B757F" w:rsidRPr="004B757F" w:rsidRDefault="004B757F" w:rsidP="004B757F">
      <w:pPr>
        <w:numPr>
          <w:ilvl w:val="0"/>
          <w:numId w:val="13"/>
        </w:numPr>
        <w:spacing w:before="100" w:beforeAutospacing="1" w:line="276" w:lineRule="auto"/>
        <w:ind w:left="284" w:hanging="284"/>
        <w:rPr>
          <w:szCs w:val="24"/>
          <w:lang w:val="es-ES_tradnl"/>
        </w:rPr>
      </w:pPr>
      <w:r w:rsidRPr="004B757F">
        <w:rPr>
          <w:b/>
          <w:szCs w:val="24"/>
          <w:lang w:val="es-ES_tradnl"/>
        </w:rPr>
        <w:t>Bulgaria cancela la construcción de la central nuclear de Belene de 2</w:t>
      </w:r>
      <w:r w:rsidR="00B538E9">
        <w:rPr>
          <w:b/>
          <w:szCs w:val="24"/>
          <w:lang w:val="es-ES_tradnl"/>
        </w:rPr>
        <w:t xml:space="preserve"> </w:t>
      </w:r>
      <w:r w:rsidRPr="004B757F">
        <w:rPr>
          <w:b/>
          <w:szCs w:val="24"/>
          <w:lang w:val="es-ES_tradnl"/>
        </w:rPr>
        <w:t>GW.</w:t>
      </w:r>
      <w:r w:rsidRPr="004B757F">
        <w:rPr>
          <w:szCs w:val="24"/>
          <w:lang w:val="es-ES_tradnl"/>
        </w:rPr>
        <w:t>(Eurodialogue 11.04)</w:t>
      </w:r>
    </w:p>
    <w:p w:rsidR="00335B5F" w:rsidRPr="004B757F" w:rsidRDefault="004B757F" w:rsidP="004B757F">
      <w:pPr>
        <w:numPr>
          <w:ilvl w:val="0"/>
          <w:numId w:val="13"/>
        </w:numPr>
        <w:spacing w:before="100" w:beforeAutospacing="1" w:line="276" w:lineRule="auto"/>
        <w:ind w:left="284" w:hanging="284"/>
        <w:rPr>
          <w:szCs w:val="24"/>
          <w:lang w:val="es-ES_tradnl"/>
        </w:rPr>
      </w:pPr>
      <w:r w:rsidRPr="004B757F">
        <w:rPr>
          <w:b/>
          <w:szCs w:val="24"/>
          <w:lang w:val="es-ES_tradnl"/>
        </w:rPr>
        <w:t>Austria quiere prohibir las importaciones de energía nuclear desde 2015</w:t>
      </w:r>
      <w:r w:rsidRPr="004B757F">
        <w:rPr>
          <w:szCs w:val="24"/>
          <w:lang w:val="es-ES_tradnl"/>
        </w:rPr>
        <w:t>, mediante la introducción de un “certificado libre de nuclear”, obligatorio a partir de 2015. (EUE 20.04)</w:t>
      </w:r>
    </w:p>
    <w:p w:rsidR="000322F5" w:rsidRDefault="000322F5" w:rsidP="00600C49">
      <w:pPr>
        <w:pStyle w:val="Ttulo3"/>
        <w:rPr>
          <w:lang w:val="es-ES_tradnl"/>
        </w:rPr>
      </w:pPr>
      <w:r>
        <w:rPr>
          <w:lang w:val="es-ES_tradnl"/>
        </w:rPr>
        <w:t>Europa – Gas</w:t>
      </w:r>
    </w:p>
    <w:p w:rsidR="004B757F" w:rsidRPr="004B757F" w:rsidRDefault="004B757F" w:rsidP="004B757F">
      <w:pPr>
        <w:numPr>
          <w:ilvl w:val="0"/>
          <w:numId w:val="13"/>
        </w:numPr>
        <w:spacing w:before="100" w:beforeAutospacing="1" w:line="276" w:lineRule="auto"/>
        <w:ind w:left="284" w:hanging="284"/>
        <w:rPr>
          <w:szCs w:val="24"/>
          <w:lang w:val="es-ES_tradnl"/>
        </w:rPr>
      </w:pPr>
      <w:r w:rsidRPr="004B757F">
        <w:rPr>
          <w:b/>
          <w:szCs w:val="24"/>
          <w:lang w:val="es-ES_tradnl"/>
        </w:rPr>
        <w:t>Los TSO alemanes de gas afirman necesitar inversiones de 2.200</w:t>
      </w:r>
      <w:r w:rsidR="001127F1">
        <w:rPr>
          <w:b/>
          <w:szCs w:val="24"/>
          <w:lang w:val="es-ES_tradnl"/>
        </w:rPr>
        <w:t xml:space="preserve"> </w:t>
      </w:r>
      <w:r w:rsidR="00B538E9">
        <w:rPr>
          <w:b/>
          <w:szCs w:val="24"/>
          <w:lang w:val="es-ES_tradnl"/>
        </w:rPr>
        <w:t>millones de</w:t>
      </w:r>
      <w:r w:rsidR="004020EF">
        <w:rPr>
          <w:b/>
          <w:szCs w:val="24"/>
          <w:lang w:val="es-ES_tradnl"/>
        </w:rPr>
        <w:t xml:space="preserve"> €</w:t>
      </w:r>
      <w:r w:rsidRPr="004B757F">
        <w:rPr>
          <w:b/>
          <w:szCs w:val="24"/>
          <w:lang w:val="es-ES_tradnl"/>
        </w:rPr>
        <w:t xml:space="preserve"> los próximos 10 años:</w:t>
      </w:r>
      <w:r w:rsidRPr="004B757F">
        <w:rPr>
          <w:szCs w:val="24"/>
          <w:lang w:val="es-ES_tradnl"/>
        </w:rPr>
        <w:t xml:space="preserve"> la adopción de la nueva política energética alemana junto con la expansión de las renovables hacen necesarias nuevas infraestructuras, que incluyen unos 1.835</w:t>
      </w:r>
      <w:r w:rsidR="00B538E9">
        <w:rPr>
          <w:szCs w:val="24"/>
          <w:lang w:val="es-ES_tradnl"/>
        </w:rPr>
        <w:t xml:space="preserve"> </w:t>
      </w:r>
      <w:r w:rsidRPr="004B757F">
        <w:rPr>
          <w:szCs w:val="24"/>
          <w:lang w:val="es-ES_tradnl"/>
        </w:rPr>
        <w:t xml:space="preserve">km de gasoductos nuevos. (EUE 09.03) </w:t>
      </w:r>
    </w:p>
    <w:p w:rsidR="007C5FA9" w:rsidRPr="004B757F" w:rsidRDefault="004B757F" w:rsidP="004B757F">
      <w:pPr>
        <w:numPr>
          <w:ilvl w:val="0"/>
          <w:numId w:val="13"/>
        </w:numPr>
        <w:spacing w:before="100" w:beforeAutospacing="1" w:line="276" w:lineRule="auto"/>
        <w:ind w:left="284" w:hanging="284"/>
        <w:rPr>
          <w:szCs w:val="24"/>
          <w:lang w:val="es-ES_tradnl"/>
        </w:rPr>
      </w:pPr>
      <w:r w:rsidRPr="004B757F">
        <w:rPr>
          <w:b/>
          <w:szCs w:val="24"/>
          <w:lang w:val="es-ES_tradnl"/>
        </w:rPr>
        <w:lastRenderedPageBreak/>
        <w:t>Las compañías bálticas de gas adoptan el plan de inversiones para 2012-21</w:t>
      </w:r>
      <w:r w:rsidRPr="004B757F">
        <w:rPr>
          <w:szCs w:val="24"/>
          <w:lang w:val="es-ES_tradnl"/>
        </w:rPr>
        <w:t xml:space="preserve"> del mercado regional Báltico de gas: las compañías de redes implicadas pertenecen a Dinamarca, Estonia, Finlandia, Letonia, Lituania, Polonia, Suecia. El plan considera la construcción de una terminal de GNL en Polonia. (EUE 06.04) </w:t>
      </w:r>
    </w:p>
    <w:p w:rsidR="000322F5" w:rsidRDefault="000322F5" w:rsidP="00600C49">
      <w:pPr>
        <w:pStyle w:val="Ttulo3"/>
        <w:rPr>
          <w:lang w:val="es-ES_tradnl"/>
        </w:rPr>
      </w:pPr>
      <w:r>
        <w:rPr>
          <w:lang w:val="es-ES_tradnl"/>
        </w:rPr>
        <w:t>Norteamérica – Renovables y Medio Ambiente</w:t>
      </w:r>
    </w:p>
    <w:p w:rsidR="004B757F" w:rsidRPr="004B757F" w:rsidRDefault="004B757F" w:rsidP="004B757F">
      <w:pPr>
        <w:numPr>
          <w:ilvl w:val="0"/>
          <w:numId w:val="13"/>
        </w:numPr>
        <w:spacing w:before="100" w:beforeAutospacing="1" w:line="276" w:lineRule="auto"/>
        <w:ind w:left="284" w:hanging="284"/>
        <w:rPr>
          <w:b/>
          <w:szCs w:val="24"/>
          <w:lang w:val="es-ES_tradnl"/>
        </w:rPr>
      </w:pPr>
      <w:r w:rsidRPr="004B757F">
        <w:rPr>
          <w:b/>
          <w:szCs w:val="24"/>
          <w:lang w:val="es-ES_tradnl"/>
        </w:rPr>
        <w:t xml:space="preserve">El Departamento del Tesoro estadounidense publica </w:t>
      </w:r>
      <w:hyperlink r:id="rId10" w:history="1">
        <w:r w:rsidRPr="00C54D29">
          <w:rPr>
            <w:rStyle w:val="Hipervnculo"/>
            <w:rFonts w:ascii="Calibri" w:hAnsi="Calibri"/>
            <w:b/>
            <w:szCs w:val="24"/>
            <w:lang w:val="es-ES_tradnl"/>
          </w:rPr>
          <w:t>un informe</w:t>
        </w:r>
      </w:hyperlink>
      <w:r w:rsidRPr="004B757F">
        <w:rPr>
          <w:b/>
          <w:szCs w:val="24"/>
          <w:lang w:val="es-ES_tradnl"/>
        </w:rPr>
        <w:t xml:space="preserve"> detallando los fondos destinados a proyectos de renovables. </w:t>
      </w:r>
      <w:r w:rsidRPr="004B757F">
        <w:rPr>
          <w:szCs w:val="24"/>
          <w:lang w:val="es-ES_tradnl"/>
        </w:rPr>
        <w:t xml:space="preserve">A finales de marzo se habían invertido 11.200 </w:t>
      </w:r>
      <w:r w:rsidR="00B538E9">
        <w:rPr>
          <w:szCs w:val="24"/>
          <w:lang w:val="es-ES_tradnl"/>
        </w:rPr>
        <w:t>millones de USD (8.396 millones</w:t>
      </w:r>
      <w:r w:rsidRPr="004B757F">
        <w:rPr>
          <w:szCs w:val="24"/>
          <w:lang w:val="es-ES_tradnl"/>
        </w:rPr>
        <w:t xml:space="preserve"> en eólica) en un total de 34.140 proyectos (33.175 de solar) de 16,5</w:t>
      </w:r>
      <w:r w:rsidR="00B538E9">
        <w:rPr>
          <w:szCs w:val="24"/>
          <w:lang w:val="es-ES_tradnl"/>
        </w:rPr>
        <w:t xml:space="preserve"> </w:t>
      </w:r>
      <w:r w:rsidRPr="004B757F">
        <w:rPr>
          <w:szCs w:val="24"/>
          <w:lang w:val="es-ES_tradnl"/>
        </w:rPr>
        <w:t>GW de capacidad (13.879</w:t>
      </w:r>
      <w:r w:rsidR="00B538E9">
        <w:rPr>
          <w:szCs w:val="24"/>
          <w:lang w:val="es-ES_tradnl"/>
        </w:rPr>
        <w:t xml:space="preserve"> MW eólica) </w:t>
      </w:r>
      <w:r w:rsidRPr="004B757F">
        <w:rPr>
          <w:szCs w:val="24"/>
          <w:lang w:val="es-ES_tradnl"/>
        </w:rPr>
        <w:t>(EPD 19.04)(EUW 23.04)</w:t>
      </w:r>
      <w:r w:rsidR="00B538E9">
        <w:rPr>
          <w:szCs w:val="24"/>
          <w:lang w:val="es-ES_tradnl"/>
        </w:rPr>
        <w:t>.</w:t>
      </w:r>
      <w:r w:rsidR="00B538E9">
        <w:rPr>
          <w:b/>
          <w:szCs w:val="24"/>
          <w:lang w:val="es-ES_tradnl"/>
        </w:rPr>
        <w:t xml:space="preserve"> El DOE concederá 180 m</w:t>
      </w:r>
      <w:r w:rsidRPr="004B757F">
        <w:rPr>
          <w:b/>
          <w:szCs w:val="24"/>
          <w:lang w:val="es-ES_tradnl"/>
        </w:rPr>
        <w:t xml:space="preserve">illones </w:t>
      </w:r>
      <w:r w:rsidR="00B538E9">
        <w:rPr>
          <w:b/>
          <w:szCs w:val="24"/>
          <w:lang w:val="es-ES_tradnl"/>
        </w:rPr>
        <w:t xml:space="preserve">de </w:t>
      </w:r>
      <w:r w:rsidRPr="004B757F">
        <w:rPr>
          <w:b/>
          <w:szCs w:val="24"/>
          <w:lang w:val="es-ES_tradnl"/>
        </w:rPr>
        <w:t xml:space="preserve">USD para proyectos offshore de tecnología avanzada </w:t>
      </w:r>
      <w:r w:rsidRPr="004B757F">
        <w:rPr>
          <w:szCs w:val="24"/>
          <w:lang w:val="es-ES_tradnl"/>
        </w:rPr>
        <w:t>los próximos 6 años, con el objetivo de redu</w:t>
      </w:r>
      <w:r w:rsidR="00B538E9">
        <w:rPr>
          <w:szCs w:val="24"/>
          <w:lang w:val="es-ES_tradnl"/>
        </w:rPr>
        <w:t xml:space="preserve">cir </w:t>
      </w:r>
      <w:r w:rsidR="00E46E70">
        <w:rPr>
          <w:szCs w:val="24"/>
          <w:lang w:val="es-ES_tradnl"/>
        </w:rPr>
        <w:t>sus costes</w:t>
      </w:r>
      <w:r w:rsidR="00B538E9">
        <w:rPr>
          <w:szCs w:val="24"/>
          <w:lang w:val="es-ES_tradnl"/>
        </w:rPr>
        <w:t xml:space="preserve"> a 10 c</w:t>
      </w:r>
      <w:r w:rsidRPr="004B757F">
        <w:rPr>
          <w:szCs w:val="24"/>
          <w:lang w:val="es-ES_tradnl"/>
        </w:rPr>
        <w:t>USD/kWh. (EPD 02.03) (EUW 05.03)</w:t>
      </w:r>
      <w:r w:rsidRPr="004B757F">
        <w:rPr>
          <w:b/>
          <w:szCs w:val="24"/>
          <w:lang w:val="es-ES_tradnl"/>
        </w:rPr>
        <w:t xml:space="preserve"> </w:t>
      </w:r>
    </w:p>
    <w:p w:rsidR="004B757F" w:rsidRPr="004B757F" w:rsidRDefault="004B757F" w:rsidP="004B757F">
      <w:pPr>
        <w:numPr>
          <w:ilvl w:val="0"/>
          <w:numId w:val="13"/>
        </w:numPr>
        <w:spacing w:before="100" w:beforeAutospacing="1" w:line="276" w:lineRule="auto"/>
        <w:ind w:left="284" w:hanging="284"/>
        <w:rPr>
          <w:b/>
          <w:szCs w:val="24"/>
          <w:lang w:val="es-ES_tradnl"/>
        </w:rPr>
      </w:pPr>
      <w:r w:rsidRPr="004B757F">
        <w:rPr>
          <w:b/>
          <w:szCs w:val="24"/>
          <w:lang w:val="es-ES_tradnl"/>
        </w:rPr>
        <w:t xml:space="preserve">Ontario reducirá las FiT solar y eólica debido a la caída en sus costes de desarrollo, </w:t>
      </w:r>
      <w:r w:rsidRPr="003F277B">
        <w:rPr>
          <w:szCs w:val="24"/>
          <w:lang w:val="es-ES_tradnl"/>
        </w:rPr>
        <w:t>y además está considerando expandir su objetivo de renovables, fijado actualmente en 10.700</w:t>
      </w:r>
      <w:r w:rsidR="00B538E9">
        <w:rPr>
          <w:szCs w:val="24"/>
          <w:lang w:val="es-ES_tradnl"/>
        </w:rPr>
        <w:t xml:space="preserve"> </w:t>
      </w:r>
      <w:r w:rsidRPr="003F277B">
        <w:rPr>
          <w:szCs w:val="24"/>
          <w:lang w:val="es-ES_tradnl"/>
        </w:rPr>
        <w:t>MW de generación no hidroeléctrica para 2018. Las tarifas propuestas serán de media un 20% inferior a las actuales. (EPD 26.03)</w:t>
      </w:r>
      <w:r w:rsidRPr="004B757F">
        <w:rPr>
          <w:b/>
          <w:szCs w:val="24"/>
          <w:lang w:val="es-ES_tradnl"/>
        </w:rPr>
        <w:t xml:space="preserve"> </w:t>
      </w:r>
    </w:p>
    <w:p w:rsidR="004B757F" w:rsidRPr="004B757F" w:rsidRDefault="004B757F" w:rsidP="004B757F">
      <w:pPr>
        <w:numPr>
          <w:ilvl w:val="0"/>
          <w:numId w:val="13"/>
        </w:numPr>
        <w:spacing w:before="100" w:beforeAutospacing="1" w:line="276" w:lineRule="auto"/>
        <w:ind w:left="284" w:hanging="284"/>
        <w:rPr>
          <w:b/>
          <w:szCs w:val="24"/>
          <w:lang w:val="es-ES_tradnl"/>
        </w:rPr>
      </w:pPr>
      <w:r w:rsidRPr="004B757F">
        <w:rPr>
          <w:b/>
          <w:szCs w:val="24"/>
          <w:lang w:val="es-ES_tradnl"/>
        </w:rPr>
        <w:t xml:space="preserve">Vermont aprueba una ley para promocionar las renovables: </w:t>
      </w:r>
      <w:r w:rsidRPr="003F277B">
        <w:rPr>
          <w:szCs w:val="24"/>
          <w:lang w:val="es-ES_tradnl"/>
        </w:rPr>
        <w:t xml:space="preserve">la ley establece un objetivo del 75% de electricidad con renovables para 2032. Establece la creación de un RPS que obligará a las empresas a aumentar su cuota de venta de electricidad renovable los próximos 20 años. (RenewableEnergyLaw 23.03) </w:t>
      </w:r>
    </w:p>
    <w:p w:rsidR="004B757F" w:rsidRPr="003F277B" w:rsidRDefault="004B757F" w:rsidP="004B757F">
      <w:pPr>
        <w:numPr>
          <w:ilvl w:val="0"/>
          <w:numId w:val="13"/>
        </w:numPr>
        <w:spacing w:before="100" w:beforeAutospacing="1" w:line="276" w:lineRule="auto"/>
        <w:ind w:left="284" w:hanging="284"/>
        <w:rPr>
          <w:szCs w:val="24"/>
          <w:lang w:val="es-ES_tradnl"/>
        </w:rPr>
      </w:pPr>
      <w:r w:rsidRPr="004B757F">
        <w:rPr>
          <w:b/>
          <w:szCs w:val="24"/>
          <w:lang w:val="es-ES_tradnl"/>
        </w:rPr>
        <w:t xml:space="preserve">La California Board retrasa la primera subasta de derechos de carbono a noviembre, para facilitar a los participantes una mejor comprensión del mecanismo. </w:t>
      </w:r>
      <w:r w:rsidRPr="003F277B">
        <w:rPr>
          <w:szCs w:val="24"/>
          <w:lang w:val="es-ES_tradnl"/>
        </w:rPr>
        <w:t xml:space="preserve">California quiere reducir las emisiones de generadores, refinerías e industriales en un 15% para 2020. Se subastarán 39,5 millones de derechos. (Carbon markets 28.03, powernews 29.03) </w:t>
      </w:r>
    </w:p>
    <w:p w:rsidR="004B757F" w:rsidRPr="004B757F" w:rsidRDefault="004B757F" w:rsidP="004B757F">
      <w:pPr>
        <w:numPr>
          <w:ilvl w:val="0"/>
          <w:numId w:val="13"/>
        </w:numPr>
        <w:spacing w:before="100" w:beforeAutospacing="1" w:line="276" w:lineRule="auto"/>
        <w:ind w:left="284" w:hanging="284"/>
        <w:rPr>
          <w:b/>
          <w:szCs w:val="24"/>
          <w:lang w:val="es-ES_tradnl"/>
        </w:rPr>
      </w:pPr>
      <w:r w:rsidRPr="004B757F">
        <w:rPr>
          <w:b/>
          <w:szCs w:val="24"/>
          <w:lang w:val="es-ES_tradnl"/>
        </w:rPr>
        <w:t xml:space="preserve">La PUC de California aprueba normativa para la compra de permisos de CO2 para las 3 mayores IOUs (investment owned utilitites) </w:t>
      </w:r>
      <w:r w:rsidRPr="003F277B">
        <w:rPr>
          <w:szCs w:val="24"/>
          <w:lang w:val="es-ES_tradnl"/>
        </w:rPr>
        <w:t>como paso previo a su integración en el régimen de comercio de emisiones del estado que se lanzará en 2013. La normativa permite a las empresas aumentar su flexibilidad en la gestión de los créditos de carbono (Greenassets 23.04).</w:t>
      </w:r>
      <w:r w:rsidRPr="004B757F">
        <w:rPr>
          <w:b/>
          <w:szCs w:val="24"/>
          <w:lang w:val="es-ES_tradnl"/>
        </w:rPr>
        <w:t xml:space="preserve"> </w:t>
      </w:r>
    </w:p>
    <w:p w:rsidR="004B757F" w:rsidRPr="003F277B" w:rsidRDefault="004B757F" w:rsidP="004B757F">
      <w:pPr>
        <w:numPr>
          <w:ilvl w:val="0"/>
          <w:numId w:val="13"/>
        </w:numPr>
        <w:spacing w:before="100" w:beforeAutospacing="1" w:line="276" w:lineRule="auto"/>
        <w:ind w:left="284" w:hanging="284"/>
        <w:rPr>
          <w:szCs w:val="24"/>
          <w:lang w:val="es-ES_tradnl"/>
        </w:rPr>
      </w:pPr>
      <w:r w:rsidRPr="004B757F">
        <w:rPr>
          <w:b/>
          <w:szCs w:val="24"/>
          <w:lang w:val="es-ES_tradnl"/>
        </w:rPr>
        <w:t xml:space="preserve">Los senadores de Massachusetts quieren hacer cambios regulatorios </w:t>
      </w:r>
      <w:r w:rsidRPr="003F277B">
        <w:rPr>
          <w:szCs w:val="24"/>
          <w:lang w:val="es-ES_tradnl"/>
        </w:rPr>
        <w:t>que sirvan para reducir las elevadas tarifas de electricidad mientras se impulsan las renovables. (EPD 28.03).</w:t>
      </w:r>
      <w:r w:rsidRPr="004B757F">
        <w:rPr>
          <w:b/>
          <w:szCs w:val="24"/>
          <w:lang w:val="es-ES_tradnl"/>
        </w:rPr>
        <w:t xml:space="preserve"> El estado de Massachusetts aprueba una ley que obliga a las empresas a doblar su cartera de contratos de renovables a largo plazo. </w:t>
      </w:r>
      <w:r w:rsidRPr="003F277B">
        <w:rPr>
          <w:szCs w:val="24"/>
          <w:lang w:val="es-ES_tradnl"/>
        </w:rPr>
        <w:t xml:space="preserve">Las empresas deberán asegurar el 7% de su carga mediante contratos de renovables a largo plazo (15-20 años) basándose en un sistema de licitaciones. (EPD 04.09) </w:t>
      </w:r>
    </w:p>
    <w:p w:rsidR="004B757F" w:rsidRPr="004B757F" w:rsidRDefault="004B757F" w:rsidP="004B757F">
      <w:pPr>
        <w:numPr>
          <w:ilvl w:val="0"/>
          <w:numId w:val="13"/>
        </w:numPr>
        <w:spacing w:before="100" w:beforeAutospacing="1" w:line="276" w:lineRule="auto"/>
        <w:ind w:left="284" w:hanging="284"/>
        <w:rPr>
          <w:b/>
          <w:szCs w:val="24"/>
          <w:lang w:val="es-ES_tradnl"/>
        </w:rPr>
      </w:pPr>
      <w:r w:rsidRPr="004B757F">
        <w:rPr>
          <w:b/>
          <w:szCs w:val="24"/>
          <w:lang w:val="es-ES_tradnl"/>
        </w:rPr>
        <w:t xml:space="preserve">Cinco estados y diez agencias federales firman un MoU sobre eólica offshore, </w:t>
      </w:r>
      <w:r w:rsidRPr="003F277B">
        <w:rPr>
          <w:szCs w:val="24"/>
          <w:lang w:val="es-ES_tradnl"/>
        </w:rPr>
        <w:t>con el fin de impulsar las revisiones regulatorias de la eólica offshore en los grandes lagos, que deberán estar listas en 15 meses. Los estados son Illinois, Michigan, Minnesota, New York y Pennsylvania. El potencial offshore es de 700</w:t>
      </w:r>
      <w:r w:rsidR="00B538E9">
        <w:rPr>
          <w:szCs w:val="24"/>
          <w:lang w:val="es-ES_tradnl"/>
        </w:rPr>
        <w:t xml:space="preserve"> </w:t>
      </w:r>
      <w:r w:rsidRPr="003F277B">
        <w:rPr>
          <w:szCs w:val="24"/>
          <w:lang w:val="es-ES_tradnl"/>
        </w:rPr>
        <w:t>GW. (EPD 02.04)</w:t>
      </w:r>
      <w:r w:rsidRPr="004B757F">
        <w:rPr>
          <w:b/>
          <w:szCs w:val="24"/>
          <w:lang w:val="es-ES_tradnl"/>
        </w:rPr>
        <w:t xml:space="preserve"> </w:t>
      </w:r>
    </w:p>
    <w:p w:rsidR="004B757F" w:rsidRPr="003F277B" w:rsidRDefault="004B757F" w:rsidP="004B757F">
      <w:pPr>
        <w:numPr>
          <w:ilvl w:val="0"/>
          <w:numId w:val="13"/>
        </w:numPr>
        <w:spacing w:before="100" w:beforeAutospacing="1" w:line="276" w:lineRule="auto"/>
        <w:ind w:left="284" w:hanging="284"/>
        <w:rPr>
          <w:szCs w:val="24"/>
          <w:lang w:val="es-ES_tradnl"/>
        </w:rPr>
      </w:pPr>
      <w:r w:rsidRPr="004B757F">
        <w:rPr>
          <w:b/>
          <w:szCs w:val="24"/>
          <w:lang w:val="es-ES_tradnl"/>
        </w:rPr>
        <w:t xml:space="preserve">PJM Interconnection afirma que la eólica debe tener el mismo “coste de oportunidad perdida” que la generación convencional, </w:t>
      </w:r>
      <w:r w:rsidRPr="003F277B">
        <w:rPr>
          <w:szCs w:val="24"/>
          <w:lang w:val="es-ES_tradnl"/>
        </w:rPr>
        <w:t xml:space="preserve">de modo que deben recibir la misma compensación cuando se reduzca su generación en las operaciones en tiempo real. PJM le ha propuesto a la FERC un cambio tarifario </w:t>
      </w:r>
      <w:r w:rsidRPr="003F277B">
        <w:rPr>
          <w:szCs w:val="24"/>
          <w:lang w:val="es-ES_tradnl"/>
        </w:rPr>
        <w:lastRenderedPageBreak/>
        <w:t xml:space="preserve">el cual usa la misma metodología para la eólica que para centrales de combustibles fósiles. (EPD 05.04) </w:t>
      </w:r>
    </w:p>
    <w:p w:rsidR="004B757F" w:rsidRPr="004B757F" w:rsidRDefault="004B757F" w:rsidP="004B757F">
      <w:pPr>
        <w:numPr>
          <w:ilvl w:val="0"/>
          <w:numId w:val="13"/>
        </w:numPr>
        <w:spacing w:before="100" w:beforeAutospacing="1" w:line="276" w:lineRule="auto"/>
        <w:ind w:left="284" w:hanging="284"/>
        <w:rPr>
          <w:b/>
          <w:szCs w:val="24"/>
          <w:lang w:val="es-ES_tradnl"/>
        </w:rPr>
      </w:pPr>
      <w:r w:rsidRPr="004B757F">
        <w:rPr>
          <w:b/>
          <w:szCs w:val="24"/>
          <w:lang w:val="es-ES_tradnl"/>
        </w:rPr>
        <w:t xml:space="preserve">El Senado de Arizona aprueba una ley que limita a las renovables en un 15% para 2025: </w:t>
      </w:r>
      <w:r w:rsidRPr="003F277B">
        <w:rPr>
          <w:szCs w:val="24"/>
          <w:lang w:val="es-ES_tradnl"/>
        </w:rPr>
        <w:t>con lo que el nivel actual del RPS del 15% se mantendrá hasta 2025. (EUW 19.03). Además se quiere probar una ley para limitar las medidas de eficiencia del estado, ciudades y condados. (EPD 11.04)</w:t>
      </w:r>
      <w:r w:rsidRPr="004B757F">
        <w:rPr>
          <w:b/>
          <w:szCs w:val="24"/>
          <w:lang w:val="es-ES_tradnl"/>
        </w:rPr>
        <w:t xml:space="preserve"> </w:t>
      </w:r>
    </w:p>
    <w:p w:rsidR="007C5FA9" w:rsidRPr="003F277B" w:rsidRDefault="004B757F" w:rsidP="004B757F">
      <w:pPr>
        <w:numPr>
          <w:ilvl w:val="0"/>
          <w:numId w:val="13"/>
        </w:numPr>
        <w:spacing w:before="100" w:beforeAutospacing="1" w:line="276" w:lineRule="auto"/>
        <w:ind w:left="284" w:hanging="284"/>
        <w:rPr>
          <w:rFonts w:eastAsiaTheme="minorHAnsi" w:cs="Calibri"/>
          <w:color w:val="000000"/>
          <w:sz w:val="23"/>
          <w:szCs w:val="23"/>
        </w:rPr>
      </w:pPr>
      <w:r w:rsidRPr="004B757F">
        <w:rPr>
          <w:b/>
          <w:szCs w:val="24"/>
          <w:lang w:val="es-ES_tradnl"/>
        </w:rPr>
        <w:t xml:space="preserve">Pennsylvania debate la segunda fase de su programa de eficiencia energética. </w:t>
      </w:r>
      <w:r w:rsidRPr="003F277B">
        <w:rPr>
          <w:szCs w:val="24"/>
          <w:lang w:val="es-ES_tradnl"/>
        </w:rPr>
        <w:t>Bajo la primera fase del programa, las empresas ahorraron 2,073</w:t>
      </w:r>
      <w:r w:rsidR="00B538E9">
        <w:rPr>
          <w:szCs w:val="24"/>
          <w:lang w:val="es-ES_tradnl"/>
        </w:rPr>
        <w:t xml:space="preserve"> </w:t>
      </w:r>
      <w:r w:rsidRPr="003F277B">
        <w:rPr>
          <w:szCs w:val="24"/>
          <w:lang w:val="es-ES_tradnl"/>
        </w:rPr>
        <w:t>TWh en electricidad a un “levelized annual cost” de 0,016</w:t>
      </w:r>
      <w:r w:rsidR="00B538E9">
        <w:rPr>
          <w:szCs w:val="24"/>
          <w:lang w:val="es-ES_tradnl"/>
        </w:rPr>
        <w:t xml:space="preserve"> </w:t>
      </w:r>
      <w:r w:rsidRPr="003F277B">
        <w:rPr>
          <w:szCs w:val="24"/>
          <w:lang w:val="es-ES_tradnl"/>
        </w:rPr>
        <w:t>USD/kWh, lo que supuso un ahorro de unos 278</w:t>
      </w:r>
      <w:r w:rsidR="00B538E9">
        <w:rPr>
          <w:szCs w:val="24"/>
          <w:lang w:val="es-ES_tradnl"/>
        </w:rPr>
        <w:t xml:space="preserve"> millones de</w:t>
      </w:r>
      <w:r w:rsidRPr="003F277B">
        <w:rPr>
          <w:szCs w:val="24"/>
          <w:lang w:val="es-ES_tradnl"/>
        </w:rPr>
        <w:t xml:space="preserve"> USD para los consumidores. Se pretende comenzar la segunda fase en junio de 2013. (EUW 30.04)</w:t>
      </w:r>
      <w:r w:rsidRPr="003F277B">
        <w:rPr>
          <w:rFonts w:eastAsiaTheme="minorHAnsi" w:cs="Calibri"/>
          <w:color w:val="000000"/>
          <w:sz w:val="23"/>
          <w:szCs w:val="23"/>
        </w:rPr>
        <w:t xml:space="preserve"> </w:t>
      </w:r>
      <w:r w:rsidR="00BC426E" w:rsidRPr="003F277B">
        <w:rPr>
          <w:szCs w:val="24"/>
        </w:rPr>
        <w:t xml:space="preserve"> </w:t>
      </w:r>
    </w:p>
    <w:p w:rsidR="000322F5" w:rsidRPr="000E1CC6" w:rsidRDefault="000322F5" w:rsidP="00600C49">
      <w:pPr>
        <w:pStyle w:val="Ttulo3"/>
      </w:pPr>
      <w:r w:rsidRPr="000E1CC6">
        <w:t xml:space="preserve">Norteamérica – </w:t>
      </w:r>
      <w:r w:rsidR="00B70D5F">
        <w:t>Regulación y legislación</w:t>
      </w:r>
    </w:p>
    <w:p w:rsidR="00B70D5F" w:rsidRPr="00B70D5F" w:rsidRDefault="00B70D5F" w:rsidP="00B70D5F">
      <w:pPr>
        <w:numPr>
          <w:ilvl w:val="0"/>
          <w:numId w:val="13"/>
        </w:numPr>
        <w:spacing w:before="100" w:beforeAutospacing="1" w:line="276" w:lineRule="auto"/>
        <w:ind w:left="284" w:hanging="284"/>
        <w:rPr>
          <w:szCs w:val="24"/>
          <w:lang w:val="es-ES_tradnl"/>
        </w:rPr>
      </w:pPr>
      <w:r w:rsidRPr="00B70D5F">
        <w:rPr>
          <w:b/>
          <w:szCs w:val="24"/>
          <w:lang w:val="es-ES_tradnl"/>
        </w:rPr>
        <w:t>Obama firma la Ley destinada a luchar contra la competencia desleal de los productos chinos</w:t>
      </w:r>
      <w:r w:rsidRPr="00B70D5F">
        <w:rPr>
          <w:szCs w:val="24"/>
          <w:lang w:val="es-ES_tradnl"/>
        </w:rPr>
        <w:t xml:space="preserve">. (EUW 13.03) (RER 19.03) como paneles solares y componentes de turbinas eólicas. </w:t>
      </w:r>
    </w:p>
    <w:p w:rsidR="00B70D5F" w:rsidRPr="00B70D5F" w:rsidRDefault="00B70D5F" w:rsidP="00B70D5F">
      <w:pPr>
        <w:numPr>
          <w:ilvl w:val="0"/>
          <w:numId w:val="13"/>
        </w:numPr>
        <w:spacing w:before="100" w:beforeAutospacing="1" w:line="276" w:lineRule="auto"/>
        <w:ind w:left="284" w:hanging="284"/>
        <w:rPr>
          <w:szCs w:val="24"/>
          <w:lang w:val="es-ES_tradnl"/>
        </w:rPr>
      </w:pPr>
      <w:r w:rsidRPr="00B70D5F">
        <w:rPr>
          <w:b/>
          <w:szCs w:val="24"/>
          <w:lang w:val="es-ES_tradnl"/>
        </w:rPr>
        <w:t xml:space="preserve">En 2012 varios estados han introducido leyes para limitar o eliminar los RPS sin éxito: </w:t>
      </w:r>
      <w:r w:rsidRPr="00B70D5F">
        <w:rPr>
          <w:szCs w:val="24"/>
          <w:lang w:val="es-ES_tradnl"/>
        </w:rPr>
        <w:t xml:space="preserve">los críticos del RPS afirman que su cumplimento solo provocaría mayores gastos para los contribuyentes y un daño a la economía. (EUW 12.03) </w:t>
      </w:r>
    </w:p>
    <w:p w:rsidR="00B70D5F" w:rsidRPr="00B70D5F" w:rsidRDefault="00B70D5F" w:rsidP="00B70D5F">
      <w:pPr>
        <w:numPr>
          <w:ilvl w:val="0"/>
          <w:numId w:val="13"/>
        </w:numPr>
        <w:spacing w:before="100" w:beforeAutospacing="1" w:line="276" w:lineRule="auto"/>
        <w:ind w:left="284" w:hanging="284"/>
        <w:rPr>
          <w:szCs w:val="24"/>
          <w:lang w:val="es-ES_tradnl"/>
        </w:rPr>
      </w:pPr>
      <w:r w:rsidRPr="00B70D5F">
        <w:rPr>
          <w:b/>
          <w:szCs w:val="24"/>
          <w:lang w:val="es-ES_tradnl"/>
        </w:rPr>
        <w:t>El gobernador de Ohio revisa su política energética,</w:t>
      </w:r>
      <w:r w:rsidRPr="00B70D5F">
        <w:rPr>
          <w:szCs w:val="24"/>
          <w:lang w:val="es-ES_tradnl"/>
        </w:rPr>
        <w:t xml:space="preserve"> la cual incluye un impuesto sobre el gas</w:t>
      </w:r>
      <w:r w:rsidR="00B538E9">
        <w:rPr>
          <w:szCs w:val="24"/>
          <w:lang w:val="es-ES_tradnl"/>
        </w:rPr>
        <w:t xml:space="preserve"> de esquisto, además de 30 millones de</w:t>
      </w:r>
      <w:r w:rsidRPr="00B70D5F">
        <w:rPr>
          <w:szCs w:val="24"/>
          <w:lang w:val="es-ES_tradnl"/>
        </w:rPr>
        <w:t xml:space="preserve"> USD en fondos para la investigación en CCS. El estado genera cerca del 90% con carbón. (EUW 19.03) </w:t>
      </w:r>
    </w:p>
    <w:p w:rsidR="00B70D5F" w:rsidRPr="00B70D5F" w:rsidRDefault="00B70D5F" w:rsidP="00B70D5F">
      <w:pPr>
        <w:numPr>
          <w:ilvl w:val="0"/>
          <w:numId w:val="13"/>
        </w:numPr>
        <w:spacing w:before="100" w:beforeAutospacing="1" w:line="276" w:lineRule="auto"/>
        <w:ind w:left="284" w:hanging="284"/>
        <w:rPr>
          <w:rFonts w:eastAsiaTheme="minorHAnsi" w:cs="Calibri"/>
          <w:color w:val="000000"/>
          <w:sz w:val="23"/>
          <w:szCs w:val="23"/>
        </w:rPr>
      </w:pPr>
      <w:r w:rsidRPr="00B70D5F">
        <w:rPr>
          <w:szCs w:val="24"/>
          <w:lang w:val="es-ES_tradnl"/>
        </w:rPr>
        <w:t>Según el Senador Waxman, se podría empezar a discutir una tasa al CO2 en 2013 debido a los cambios que se producirán en el presupuesto federal, con la extinción de las desgravaciones fiscales de la administración Bush y el aumento del techo de deuda (lo que supone una dura andadura parlamentaria en cualquier caso). Una tasa al carbono de 20 USD por tonelada supondría unos ingresos de 1.200 billones de USD en 10 años. (EPD 20.03).</w:t>
      </w:r>
      <w:r w:rsidRPr="00B70D5F">
        <w:rPr>
          <w:rFonts w:eastAsiaTheme="minorHAnsi" w:cs="Calibri"/>
          <w:color w:val="000000"/>
          <w:sz w:val="23"/>
          <w:szCs w:val="23"/>
        </w:rPr>
        <w:t xml:space="preserve"> </w:t>
      </w:r>
    </w:p>
    <w:p w:rsidR="000322F5" w:rsidRDefault="000322F5" w:rsidP="00600C49">
      <w:pPr>
        <w:pStyle w:val="Ttulo3"/>
        <w:rPr>
          <w:lang w:val="es-ES_tradnl"/>
        </w:rPr>
      </w:pPr>
      <w:r>
        <w:rPr>
          <w:lang w:val="es-ES_tradnl"/>
        </w:rPr>
        <w:t>Norteamérica – Redes y Garantía de suministro</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 xml:space="preserve">Un </w:t>
      </w:r>
      <w:hyperlink r:id="rId11" w:history="1">
        <w:r w:rsidRPr="00C54D29">
          <w:rPr>
            <w:rStyle w:val="Hipervnculo"/>
            <w:rFonts w:ascii="Calibri" w:hAnsi="Calibri"/>
            <w:b/>
            <w:szCs w:val="24"/>
            <w:lang w:val="es-ES_tradnl"/>
          </w:rPr>
          <w:t>informe</w:t>
        </w:r>
      </w:hyperlink>
      <w:r w:rsidRPr="00E41779">
        <w:rPr>
          <w:b/>
          <w:szCs w:val="24"/>
          <w:lang w:val="es-ES_tradnl"/>
        </w:rPr>
        <w:t xml:space="preserve"> de NERC confirma los riesgos sobre las redes de las tormentas solares geomagnéticas.</w:t>
      </w:r>
      <w:r w:rsidRPr="00E41779">
        <w:rPr>
          <w:szCs w:val="24"/>
          <w:lang w:val="es-ES_tradnl"/>
        </w:rPr>
        <w:t xml:space="preserve"> El mayor riesgo es la perdida de energía reactiva, que podría llevar a una inestabilidad en la tensión y un colapso del sistema. (EUW 05.03). A principios de marzo, </w:t>
      </w:r>
      <w:r w:rsidRPr="00E41779">
        <w:rPr>
          <w:b/>
          <w:szCs w:val="24"/>
          <w:lang w:val="es-ES_tradnl"/>
        </w:rPr>
        <w:t>el NWS avisó a los operadores de red sobre la intensificación de la actividad geomagnética solar</w:t>
      </w:r>
      <w:r w:rsidRPr="00E41779">
        <w:rPr>
          <w:szCs w:val="24"/>
          <w:lang w:val="es-ES_tradnl"/>
        </w:rPr>
        <w:t xml:space="preserve">, lo cual podría tener efectos en las redes. Los ciclos solares se repiten cada 11 años y se teme que de no adoptarse medidas el sistema eléctrico falle tal y como sucedió en 1989. (EPD 06.03). </w:t>
      </w:r>
      <w:r w:rsidRPr="00E41779">
        <w:rPr>
          <w:b/>
          <w:szCs w:val="24"/>
          <w:lang w:val="es-ES_tradnl"/>
        </w:rPr>
        <w:t>La FERC celebró a finales de abril una conferencia para analizar los riesgos de las tormentas solares</w:t>
      </w:r>
      <w:r w:rsidRPr="00E41779">
        <w:rPr>
          <w:szCs w:val="24"/>
          <w:lang w:val="es-ES_tradnl"/>
        </w:rPr>
        <w:t xml:space="preserve"> y la fiabilidad de las redes ante las mismas así como las posibles soluciones. (EUW 16.04) </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ERCOT avisa de que este verano se podrían producir varios apagones</w:t>
      </w:r>
      <w:r w:rsidRPr="00E41779">
        <w:rPr>
          <w:szCs w:val="24"/>
          <w:lang w:val="es-ES_tradnl"/>
        </w:rPr>
        <w:t xml:space="preserve"> debido a las altas temperaturas esperadas y a la posibilidad de que haya un número elevado de generadores rea</w:t>
      </w:r>
      <w:r w:rsidR="00B538E9">
        <w:rPr>
          <w:szCs w:val="24"/>
          <w:lang w:val="es-ES_tradnl"/>
        </w:rPr>
        <w:t>lizando tareas de mantenimiento</w:t>
      </w:r>
      <w:r w:rsidRPr="00E41779">
        <w:rPr>
          <w:szCs w:val="24"/>
          <w:lang w:val="es-ES_tradnl"/>
        </w:rPr>
        <w:t xml:space="preserve"> (MW 02.03)(EUW 05.03). Mientras, </w:t>
      </w:r>
      <w:r w:rsidRPr="00E41779">
        <w:rPr>
          <w:b/>
          <w:szCs w:val="24"/>
          <w:lang w:val="es-ES_tradnl"/>
        </w:rPr>
        <w:t>ERCOT busca aumentar el número de recursos de respuesta de la demanda</w:t>
      </w:r>
      <w:r w:rsidRPr="00E41779">
        <w:rPr>
          <w:szCs w:val="24"/>
          <w:lang w:val="es-ES_tradnl"/>
        </w:rPr>
        <w:t xml:space="preserve">, aumentando la cantidad de capacidad que se pueda desconectar en periodos de escasez de suministro, por lo que permitirá a la generación </w:t>
      </w:r>
      <w:r w:rsidRPr="00E41779">
        <w:rPr>
          <w:szCs w:val="24"/>
          <w:lang w:val="es-ES_tradnl"/>
        </w:rPr>
        <w:lastRenderedPageBreak/>
        <w:t xml:space="preserve">distribuida participar en el programa de respuesta de emergencias “Emergency Response Service Program”. (EPD 27.03) </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Según el Departamento de Energía de Connecticut, el estado no necesitará más capacidad hasta 2022</w:t>
      </w:r>
      <w:r w:rsidRPr="00E41779">
        <w:rPr>
          <w:szCs w:val="24"/>
          <w:lang w:val="es-ES_tradnl"/>
        </w:rPr>
        <w:t>, por lo que propone centrarse en la eficiencia y el transporte en vez de construir nueva generación. El objetivo es reducir las tarifas de electricidad que en d</w:t>
      </w:r>
      <w:r w:rsidR="00B538E9">
        <w:rPr>
          <w:szCs w:val="24"/>
          <w:lang w:val="es-ES_tradnl"/>
        </w:rPr>
        <w:t>iciembre alcanzaban los       18,11 c</w:t>
      </w:r>
      <w:r w:rsidRPr="00E41779">
        <w:rPr>
          <w:szCs w:val="24"/>
          <w:lang w:val="es-ES_tradnl"/>
        </w:rPr>
        <w:t>USD/kWh para residenciales, siendo las segundas más caras de los EEUU. (EUW 12.03)</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PJM propone cambios en la formula de compensación de servicios de regulación de frecuencia:</w:t>
      </w:r>
      <w:r w:rsidRPr="00E41779">
        <w:rPr>
          <w:szCs w:val="24"/>
          <w:lang w:val="es-ES_tradnl"/>
        </w:rPr>
        <w:t xml:space="preserve"> PJM propone que los recursos presenten una oferta de servicios de regulación que incluya un precio por capacidad y otro por rendimiento. En la actualidad estos recursos solo presentan ofertas por capacidad. (MW 07.03) </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PJM aprueba la construcción de 161 proyectos de tran</w:t>
      </w:r>
      <w:r w:rsidR="00B538E9">
        <w:rPr>
          <w:b/>
          <w:szCs w:val="24"/>
          <w:lang w:val="es-ES_tradnl"/>
        </w:rPr>
        <w:t xml:space="preserve">sporte a un coste de 5.800 millones de </w:t>
      </w:r>
      <w:r w:rsidRPr="00E41779">
        <w:rPr>
          <w:b/>
          <w:szCs w:val="24"/>
          <w:lang w:val="es-ES_tradnl"/>
        </w:rPr>
        <w:t>USD</w:t>
      </w:r>
      <w:r w:rsidRPr="00E41779">
        <w:rPr>
          <w:szCs w:val="24"/>
          <w:lang w:val="es-ES_tradnl"/>
        </w:rPr>
        <w:t xml:space="preserve">, en su </w:t>
      </w:r>
      <w:hyperlink r:id="rId12" w:history="1">
        <w:r w:rsidRPr="00C54D29">
          <w:rPr>
            <w:rStyle w:val="Hipervnculo"/>
            <w:rFonts w:ascii="Calibri" w:hAnsi="Calibri"/>
            <w:szCs w:val="24"/>
            <w:lang w:val="es-ES_tradnl"/>
          </w:rPr>
          <w:t>2011 Regional Transmission Expansion Plan</w:t>
        </w:r>
      </w:hyperlink>
      <w:r w:rsidRPr="00E41779">
        <w:rPr>
          <w:szCs w:val="24"/>
          <w:lang w:val="es-ES_tradnl"/>
        </w:rPr>
        <w:t xml:space="preserve">. (EPD 07.03), Por otro lado, </w:t>
      </w:r>
      <w:r w:rsidRPr="00E41779">
        <w:rPr>
          <w:b/>
          <w:szCs w:val="24"/>
          <w:lang w:val="es-ES_tradnl"/>
        </w:rPr>
        <w:t>PJM quiere revisar sus procedimientos de interconexión de la generación</w:t>
      </w:r>
      <w:r w:rsidRPr="00E41779">
        <w:rPr>
          <w:szCs w:val="24"/>
          <w:lang w:val="es-ES_tradnl"/>
        </w:rPr>
        <w:t xml:space="preserve">. (EPD 26.03) </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La empresa GenOn desactivará 3,140 MW de capacidad en la PJM Interconnection</w:t>
      </w:r>
      <w:r w:rsidR="00E46E70">
        <w:rPr>
          <w:szCs w:val="24"/>
          <w:lang w:val="es-ES_tradnl"/>
        </w:rPr>
        <w:t xml:space="preserve"> (la mayoría de carbón) entre junio de 2012 y m</w:t>
      </w:r>
      <w:r w:rsidRPr="00E41779">
        <w:rPr>
          <w:szCs w:val="24"/>
          <w:lang w:val="es-ES_tradnl"/>
        </w:rPr>
        <w:t>ayo de 2015, porque el coste de mejora de las instalaciones para cumplir con la normativa federal medioambiental hacen que no sean rentables. (EUW 05.03) FERC mantiene el método de asignación de costes de la PJM Interconnection: la propuesta contempla que todos los clientes deben pagar una tasa uniforme por las nuevas líneas de transporte de 500</w:t>
      </w:r>
      <w:r w:rsidR="00B538E9">
        <w:rPr>
          <w:szCs w:val="24"/>
          <w:lang w:val="es-ES_tradnl"/>
        </w:rPr>
        <w:t xml:space="preserve"> </w:t>
      </w:r>
      <w:r w:rsidRPr="00E41779">
        <w:rPr>
          <w:szCs w:val="24"/>
          <w:lang w:val="es-ES_tradnl"/>
        </w:rPr>
        <w:t xml:space="preserve">kV o más. FERC contempla que esa medida proporciona los suficientes beneficios para justificar ese modo de recuperación de costes. (EPD 02.04) </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BPA sustituye su controvertida política re-despacho por causas medioambientales con un nuevo “protocolo de gestión del exceso de suministro” (OMP).</w:t>
      </w:r>
      <w:r w:rsidRPr="00E41779">
        <w:rPr>
          <w:szCs w:val="24"/>
          <w:lang w:val="es-ES_tradnl"/>
        </w:rPr>
        <w:t xml:space="preserve"> El OMP se aplicaría como opción de “último recurso” para restringir la producción de los generadores renovables no hidráulicos en momentos de excedente de producción, pero compensará a aquellos que pierdan PTC cuando se les impida generar</w:t>
      </w:r>
      <w:r w:rsidR="00B538E9">
        <w:rPr>
          <w:szCs w:val="24"/>
          <w:lang w:val="es-ES_tradnl"/>
        </w:rPr>
        <w:t>.</w:t>
      </w:r>
      <w:r w:rsidRPr="00E41779">
        <w:rPr>
          <w:szCs w:val="24"/>
          <w:lang w:val="es-ES_tradnl"/>
        </w:rPr>
        <w:t xml:space="preserve"> (MD 08.03)(EPD 09.03) </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La PUC de Texas aprueba una norma sobre los proyectos de almacenamiento de energía:</w:t>
      </w:r>
      <w:r w:rsidRPr="00E41779">
        <w:rPr>
          <w:szCs w:val="24"/>
          <w:lang w:val="es-ES_tradnl"/>
        </w:rPr>
        <w:t xml:space="preserve"> según la norma, las instalaciones de almacenamiento no estarán sujetos a peajes de transporte o servicios complementarios, lo cual servirá para lanzar una fuerte señal a los promotores de estas instalaciones. (EPD 09.03) (EUW 13.03) </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Según Cal ISO, en el verano podría haber problemas de suministro si la central nuclear de San Onofre sigue apagada:</w:t>
      </w:r>
      <w:r w:rsidRPr="00E41779">
        <w:rPr>
          <w:szCs w:val="24"/>
          <w:lang w:val="es-ES_tradnl"/>
        </w:rPr>
        <w:t xml:space="preserve"> El ISO está poniendo en marcha medidas que mitiguen el consumo. En condiciones extremas, el margen de reservas operativas podrían caer al 2,8% de los niveles normales de 28,9% (MW 19.03). Teniendo esto en cuenta, ha </w:t>
      </w:r>
      <w:r w:rsidRPr="00E41779">
        <w:rPr>
          <w:b/>
          <w:szCs w:val="24"/>
          <w:lang w:val="es-ES_tradnl"/>
        </w:rPr>
        <w:t xml:space="preserve">aprobado un plan con medidas de mejora de respuesta de la demanda. (EPD 20.04) Además Cal ISO aprueba 700 millones </w:t>
      </w:r>
      <w:r w:rsidR="00B538E9">
        <w:rPr>
          <w:b/>
          <w:szCs w:val="24"/>
          <w:lang w:val="es-ES_tradnl"/>
        </w:rPr>
        <w:t xml:space="preserve">de </w:t>
      </w:r>
      <w:r w:rsidRPr="00E41779">
        <w:rPr>
          <w:b/>
          <w:szCs w:val="24"/>
          <w:lang w:val="es-ES_tradnl"/>
        </w:rPr>
        <w:t>USD para mejoras en la red de transporte</w:t>
      </w:r>
      <w:r w:rsidRPr="00E41779">
        <w:rPr>
          <w:szCs w:val="24"/>
          <w:lang w:val="es-ES_tradnl"/>
        </w:rPr>
        <w:t xml:space="preserve"> de modo que se pueda mantener la fiabilidad del sistema. El Plan de Transporte 2011/12 describe la necesidad de 30 proyectos. (EPD 28.03)(EUW 02.04). </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California y Nevada consideran construir líneas interestatales para beneficiar ambos mercados,</w:t>
      </w:r>
      <w:r w:rsidRPr="00E41779">
        <w:rPr>
          <w:szCs w:val="24"/>
          <w:lang w:val="es-ES_tradnl"/>
        </w:rPr>
        <w:t xml:space="preserve"> de modo que se aumenten los recursos y se puedan realizar exportaciones de renovables de Nevada a California, además de ayudar a la regulación de las fuentes intermitentes. (EUW 16.04) </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lastRenderedPageBreak/>
        <w:t>La mayor empresa de generación con carbón de EEUU, American Electric Power, retirará 4,6</w:t>
      </w:r>
      <w:r w:rsidR="00B538E9">
        <w:rPr>
          <w:b/>
          <w:szCs w:val="24"/>
          <w:lang w:val="es-ES_tradnl"/>
        </w:rPr>
        <w:t xml:space="preserve"> </w:t>
      </w:r>
      <w:r w:rsidRPr="00E41779">
        <w:rPr>
          <w:b/>
          <w:szCs w:val="24"/>
          <w:lang w:val="es-ES_tradnl"/>
        </w:rPr>
        <w:t>GW de generación con carbón en 2016</w:t>
      </w:r>
      <w:r w:rsidRPr="00E41779">
        <w:rPr>
          <w:szCs w:val="24"/>
          <w:lang w:val="es-ES_tradnl"/>
        </w:rPr>
        <w:t xml:space="preserve"> para cumplir con la normativa de la EPA “clean air rules”. Además instalará equipos de control de emisiones y mejorará otros 13</w:t>
      </w:r>
      <w:r w:rsidR="00B538E9">
        <w:rPr>
          <w:szCs w:val="24"/>
          <w:lang w:val="es-ES_tradnl"/>
        </w:rPr>
        <w:t xml:space="preserve"> </w:t>
      </w:r>
      <w:r w:rsidRPr="00E41779">
        <w:rPr>
          <w:szCs w:val="24"/>
          <w:lang w:val="es-ES_tradnl"/>
        </w:rPr>
        <w:t xml:space="preserve">GW de capacidad (EPD 23.03) </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FERC da el visto bueno a la construcción de un gasoducto entre la ciudad de New york y New Jersey</w:t>
      </w:r>
      <w:r w:rsidRPr="00E41779">
        <w:rPr>
          <w:szCs w:val="24"/>
          <w:lang w:val="es-ES_tradnl"/>
        </w:rPr>
        <w:t xml:space="preserve">, con un coste de 850 </w:t>
      </w:r>
      <w:r w:rsidR="00B538E9">
        <w:rPr>
          <w:szCs w:val="24"/>
          <w:lang w:val="es-ES_tradnl"/>
        </w:rPr>
        <w:t>m</w:t>
      </w:r>
      <w:r w:rsidRPr="00E41779">
        <w:rPr>
          <w:szCs w:val="24"/>
          <w:lang w:val="es-ES_tradnl"/>
        </w:rPr>
        <w:t xml:space="preserve">illones </w:t>
      </w:r>
      <w:r w:rsidR="00B538E9">
        <w:rPr>
          <w:szCs w:val="24"/>
          <w:lang w:val="es-ES_tradnl"/>
        </w:rPr>
        <w:t xml:space="preserve">de </w:t>
      </w:r>
      <w:r w:rsidRPr="00E41779">
        <w:rPr>
          <w:szCs w:val="24"/>
          <w:lang w:val="es-ES_tradnl"/>
        </w:rPr>
        <w:t xml:space="preserve">USD y 15 millas de longitud. (Nera_ NYtimes 17.03) </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FERC da el visto bueno a una mayor coordinación entre ISO NY e ISO NE</w:t>
      </w:r>
      <w:r>
        <w:rPr>
          <w:szCs w:val="24"/>
          <w:lang w:val="es-ES_tradnl"/>
        </w:rPr>
        <w:t>. (EPD 20.04)</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ISO NY apuesta por una mayor inversión en redes de transporte</w:t>
      </w:r>
      <w:r w:rsidRPr="00E41779">
        <w:rPr>
          <w:szCs w:val="24"/>
          <w:lang w:val="es-ES_tradnl"/>
        </w:rPr>
        <w:t xml:space="preserve">, ya que afirma que debido la alta congestión de sus redes ha provocado distorsiones en los precios mayoristas así como la limitación en el desarrollo de las renovables. (EPD 05.04) </w:t>
      </w:r>
    </w:p>
    <w:p w:rsidR="00E41779" w:rsidRPr="00E41779" w:rsidRDefault="00E41779" w:rsidP="00E41779">
      <w:pPr>
        <w:numPr>
          <w:ilvl w:val="0"/>
          <w:numId w:val="13"/>
        </w:numPr>
        <w:spacing w:before="100" w:beforeAutospacing="1" w:line="276" w:lineRule="auto"/>
        <w:ind w:left="284" w:hanging="284"/>
        <w:rPr>
          <w:lang w:val="es-ES_tradnl"/>
        </w:rPr>
      </w:pPr>
      <w:r w:rsidRPr="00E41779">
        <w:rPr>
          <w:b/>
          <w:szCs w:val="24"/>
          <w:lang w:val="es-ES_tradnl"/>
        </w:rPr>
        <w:t>El regulador de Wisconsin aprueba una línea de 5,5 millas que aliviará la congestión entre PJM y MISO</w:t>
      </w:r>
      <w:r w:rsidRPr="00E41779">
        <w:rPr>
          <w:szCs w:val="24"/>
          <w:lang w:val="es-ES_tradnl"/>
        </w:rPr>
        <w:t>: la línea, de 345</w:t>
      </w:r>
      <w:r w:rsidR="00B538E9">
        <w:rPr>
          <w:szCs w:val="24"/>
          <w:lang w:val="es-ES_tradnl"/>
        </w:rPr>
        <w:t xml:space="preserve"> </w:t>
      </w:r>
      <w:r w:rsidRPr="00E41779">
        <w:rPr>
          <w:szCs w:val="24"/>
          <w:lang w:val="es-ES_tradnl"/>
        </w:rPr>
        <w:t>kV servirá para mejorar la fiabilidad de la red, se comenzará a construir a finales de este año y estará operativa en 2013. (EUW 30.04)</w:t>
      </w:r>
    </w:p>
    <w:p w:rsidR="00E41779" w:rsidRPr="00E41779" w:rsidRDefault="00BC426E" w:rsidP="00E41779">
      <w:pPr>
        <w:pStyle w:val="Ttulo3"/>
        <w:rPr>
          <w:lang w:val="es-ES_tradnl"/>
        </w:rPr>
      </w:pPr>
      <w:r>
        <w:rPr>
          <w:lang w:val="es-ES_tradnl"/>
        </w:rPr>
        <w:t>Norteamérica – Mercados</w:t>
      </w:r>
    </w:p>
    <w:p w:rsidR="00E41779" w:rsidRPr="00E41779" w:rsidRDefault="00E41779" w:rsidP="00E41779">
      <w:pPr>
        <w:numPr>
          <w:ilvl w:val="0"/>
          <w:numId w:val="13"/>
        </w:numPr>
        <w:spacing w:before="100" w:beforeAutospacing="1" w:line="276" w:lineRule="auto"/>
        <w:ind w:left="284" w:hanging="284"/>
        <w:rPr>
          <w:szCs w:val="24"/>
          <w:lang w:val="es-ES_tradnl"/>
        </w:rPr>
      </w:pPr>
      <w:r w:rsidRPr="00E41779">
        <w:rPr>
          <w:b/>
          <w:szCs w:val="24"/>
          <w:lang w:val="es-ES_tradnl"/>
        </w:rPr>
        <w:t xml:space="preserve">PJM recomienda reformas en el mercado tras analizar en un </w:t>
      </w:r>
      <w:hyperlink r:id="rId13" w:history="1">
        <w:r w:rsidRPr="00C54D29">
          <w:rPr>
            <w:rStyle w:val="Hipervnculo"/>
            <w:rFonts w:ascii="Calibri" w:hAnsi="Calibri"/>
            <w:b/>
            <w:szCs w:val="24"/>
            <w:lang w:val="es-ES_tradnl"/>
          </w:rPr>
          <w:t>informe</w:t>
        </w:r>
      </w:hyperlink>
      <w:r w:rsidRPr="00E41779">
        <w:rPr>
          <w:b/>
          <w:szCs w:val="24"/>
          <w:lang w:val="es-ES_tradnl"/>
        </w:rPr>
        <w:t xml:space="preserve"> que afirma que el mercado no era competitivo en 2011:</w:t>
      </w:r>
      <w:r w:rsidRPr="00E41779">
        <w:rPr>
          <w:szCs w:val="24"/>
          <w:lang w:val="es-ES_tradnl"/>
        </w:rPr>
        <w:t xml:space="preserve"> El informe recomienda una serie de reformas. Entre las mismas se cita la eliminación de la participación de la demanda que no garantice disponibilidad permanente de los mercados de capacidad y desarrollar un plan para implementar el despacho nodal para las mismas. (EPD 16.03)(MD 16.03)(EUW 19.03) </w:t>
      </w:r>
    </w:p>
    <w:p w:rsidR="00BC426E" w:rsidRPr="00E41779" w:rsidRDefault="00E41779" w:rsidP="00E41779">
      <w:pPr>
        <w:numPr>
          <w:ilvl w:val="0"/>
          <w:numId w:val="13"/>
        </w:numPr>
        <w:spacing w:before="100" w:beforeAutospacing="1" w:line="276" w:lineRule="auto"/>
        <w:ind w:left="284" w:hanging="284"/>
        <w:rPr>
          <w:szCs w:val="24"/>
          <w:lang w:val="es-ES_tradnl"/>
        </w:rPr>
      </w:pPr>
      <w:r w:rsidRPr="00E41779">
        <w:rPr>
          <w:b/>
          <w:szCs w:val="24"/>
          <w:lang w:val="es-ES_tradnl"/>
        </w:rPr>
        <w:t>Los precios en tiempo real de MISO cayeron un 24% este invierno, debido en parte a la caída en los precios del gas natural.</w:t>
      </w:r>
      <w:r w:rsidRPr="00E41779">
        <w:rPr>
          <w:szCs w:val="24"/>
          <w:lang w:val="es-ES_tradnl"/>
        </w:rPr>
        <w:t xml:space="preserve"> La existencia de precios bajos durante tanto tiempo han causado cambios en el despacho de modo que los recursos de gas se han vuelto más competitivos que los recursos base de carbón. (EPD 16.03)(MD 16.03) </w:t>
      </w:r>
    </w:p>
    <w:p w:rsidR="000322F5" w:rsidRPr="00447C34" w:rsidRDefault="000322F5" w:rsidP="00600C49">
      <w:pPr>
        <w:pStyle w:val="Ttulo3"/>
        <w:rPr>
          <w:lang w:val="es-ES_tradnl"/>
        </w:rPr>
      </w:pPr>
      <w:r>
        <w:rPr>
          <w:lang w:val="es-ES_tradnl"/>
        </w:rPr>
        <w:t>Resto del mundo – varios</w:t>
      </w:r>
    </w:p>
    <w:p w:rsidR="00ED32FF" w:rsidRDefault="00E41779" w:rsidP="00E41779">
      <w:pPr>
        <w:numPr>
          <w:ilvl w:val="0"/>
          <w:numId w:val="13"/>
        </w:numPr>
        <w:spacing w:before="100" w:beforeAutospacing="1" w:line="276" w:lineRule="auto"/>
        <w:ind w:left="284" w:hanging="284"/>
        <w:rPr>
          <w:szCs w:val="24"/>
          <w:lang w:val="es-ES_tradnl"/>
        </w:rPr>
      </w:pPr>
      <w:r w:rsidRPr="00ED32FF">
        <w:rPr>
          <w:b/>
          <w:szCs w:val="24"/>
          <w:lang w:val="es-ES_tradnl"/>
        </w:rPr>
        <w:t>China creará un centro para las energías renovables</w:t>
      </w:r>
      <w:r w:rsidRPr="00E41779">
        <w:rPr>
          <w:szCs w:val="24"/>
          <w:lang w:val="es-ES_tradnl"/>
        </w:rPr>
        <w:t xml:space="preserve">, que realizará estudios y desarrollará estrategias relacionadas con políticas de renovables además de realizar programas de cooperación internacional. </w:t>
      </w:r>
      <w:r w:rsidRPr="00ED32FF">
        <w:rPr>
          <w:b/>
          <w:szCs w:val="24"/>
          <w:lang w:val="es-ES_tradnl"/>
        </w:rPr>
        <w:t>Además China implementará en 2012 un sistema de cuotas de consumo de energías renovables</w:t>
      </w:r>
      <w:r w:rsidRPr="00E41779">
        <w:rPr>
          <w:szCs w:val="24"/>
          <w:lang w:val="es-ES_tradnl"/>
        </w:rPr>
        <w:t xml:space="preserve"> para provincias y ciudades, de modo que se impulse así el desarrollo de las renovables (REM, week8). </w:t>
      </w:r>
      <w:r w:rsidRPr="00ED32FF">
        <w:rPr>
          <w:b/>
          <w:szCs w:val="24"/>
          <w:lang w:val="es-ES_tradnl"/>
        </w:rPr>
        <w:t>China se consolida como líder mundial en energía eólica</w:t>
      </w:r>
      <w:r w:rsidRPr="00E41779">
        <w:rPr>
          <w:szCs w:val="24"/>
          <w:lang w:val="es-ES_tradnl"/>
        </w:rPr>
        <w:t>: en 2011 instaló 17,6</w:t>
      </w:r>
      <w:r w:rsidR="004020EF">
        <w:rPr>
          <w:szCs w:val="24"/>
          <w:lang w:val="es-ES_tradnl"/>
        </w:rPr>
        <w:t xml:space="preserve"> </w:t>
      </w:r>
      <w:r w:rsidRPr="00E41779">
        <w:rPr>
          <w:szCs w:val="24"/>
          <w:lang w:val="es-ES_tradnl"/>
        </w:rPr>
        <w:t>GW de turbinas eólicas lo que supone una capacidad instalada acumulada de 62,4</w:t>
      </w:r>
      <w:r w:rsidR="004020EF">
        <w:rPr>
          <w:szCs w:val="24"/>
          <w:lang w:val="es-ES_tradnl"/>
        </w:rPr>
        <w:t xml:space="preserve"> </w:t>
      </w:r>
      <w:r w:rsidRPr="00E41779">
        <w:rPr>
          <w:szCs w:val="24"/>
          <w:lang w:val="es-ES_tradnl"/>
        </w:rPr>
        <w:t>GW. EEUU cuenta con una capacidad instalada total de 49,6</w:t>
      </w:r>
      <w:r w:rsidR="004020EF">
        <w:rPr>
          <w:szCs w:val="24"/>
          <w:lang w:val="es-ES_tradnl"/>
        </w:rPr>
        <w:t xml:space="preserve"> </w:t>
      </w:r>
      <w:r w:rsidRPr="00E41779">
        <w:rPr>
          <w:szCs w:val="24"/>
          <w:lang w:val="es-ES_tradnl"/>
        </w:rPr>
        <w:t xml:space="preserve">GW. (Energoweek 12) </w:t>
      </w:r>
    </w:p>
    <w:p w:rsidR="00ED32FF" w:rsidRDefault="00E41779" w:rsidP="00E41779">
      <w:pPr>
        <w:numPr>
          <w:ilvl w:val="0"/>
          <w:numId w:val="13"/>
        </w:numPr>
        <w:spacing w:before="100" w:beforeAutospacing="1" w:line="276" w:lineRule="auto"/>
        <w:ind w:left="284" w:hanging="284"/>
        <w:rPr>
          <w:szCs w:val="24"/>
          <w:lang w:val="es-ES_tradnl"/>
        </w:rPr>
      </w:pPr>
      <w:r w:rsidRPr="00ED32FF">
        <w:rPr>
          <w:b/>
          <w:szCs w:val="24"/>
          <w:lang w:val="es-ES_tradnl"/>
        </w:rPr>
        <w:t>El nuevo plan energético chileno establece amplios objetivos para las renovables</w:t>
      </w:r>
      <w:r w:rsidRPr="00E41779">
        <w:rPr>
          <w:szCs w:val="24"/>
          <w:lang w:val="es-ES_tradnl"/>
        </w:rPr>
        <w:t xml:space="preserve">, pero adolece de falta de detalles en cómo se alcanzará ese objetivo. El plan establece el objetivo del 10% de la electricidad con renovables para 2024 y reducir el consumo de energía en un 12% para 2020. (RER 19.03) </w:t>
      </w:r>
    </w:p>
    <w:p w:rsidR="00ED32FF" w:rsidRDefault="00E41779" w:rsidP="00E41779">
      <w:pPr>
        <w:numPr>
          <w:ilvl w:val="0"/>
          <w:numId w:val="13"/>
        </w:numPr>
        <w:spacing w:before="100" w:beforeAutospacing="1" w:line="276" w:lineRule="auto"/>
        <w:ind w:left="284" w:hanging="284"/>
        <w:rPr>
          <w:szCs w:val="24"/>
          <w:lang w:val="es-ES_tradnl"/>
        </w:rPr>
      </w:pPr>
      <w:r w:rsidRPr="00ED32FF">
        <w:rPr>
          <w:b/>
          <w:szCs w:val="24"/>
          <w:lang w:val="es-ES_tradnl"/>
        </w:rPr>
        <w:t>Renovables en África:</w:t>
      </w:r>
      <w:r w:rsidRPr="00E41779">
        <w:rPr>
          <w:szCs w:val="24"/>
          <w:lang w:val="es-ES_tradnl"/>
        </w:rPr>
        <w:t xml:space="preserve"> la CE ha elaborado un </w:t>
      </w:r>
      <w:hyperlink r:id="rId14" w:history="1">
        <w:r w:rsidRPr="00C54D29">
          <w:rPr>
            <w:rStyle w:val="Hipervnculo"/>
            <w:rFonts w:ascii="Calibri" w:hAnsi="Calibri"/>
            <w:szCs w:val="24"/>
            <w:lang w:val="es-ES_tradnl"/>
          </w:rPr>
          <w:t>informe</w:t>
        </w:r>
      </w:hyperlink>
      <w:r w:rsidRPr="00E41779">
        <w:rPr>
          <w:szCs w:val="24"/>
          <w:lang w:val="es-ES_tradnl"/>
        </w:rPr>
        <w:t xml:space="preserve"> donde se ponen de manifiesto las oportunidades en energía solar y eólica del norte de África, o de la biomasa en la región subsahariana. (RER 19.03) </w:t>
      </w:r>
    </w:p>
    <w:p w:rsidR="00ED32FF" w:rsidRDefault="00E41779" w:rsidP="00E41779">
      <w:pPr>
        <w:numPr>
          <w:ilvl w:val="0"/>
          <w:numId w:val="13"/>
        </w:numPr>
        <w:spacing w:before="100" w:beforeAutospacing="1" w:line="276" w:lineRule="auto"/>
        <w:ind w:left="284" w:hanging="284"/>
        <w:rPr>
          <w:szCs w:val="24"/>
          <w:lang w:val="es-ES_tradnl"/>
        </w:rPr>
      </w:pPr>
      <w:r w:rsidRPr="00ED32FF">
        <w:rPr>
          <w:b/>
          <w:szCs w:val="24"/>
          <w:lang w:val="es-ES_tradnl"/>
        </w:rPr>
        <w:lastRenderedPageBreak/>
        <w:t>El Ministro de energía ruso terminará de desarrollar las nuevas normas de energía en 2013</w:t>
      </w:r>
      <w:r w:rsidRPr="00E41779">
        <w:rPr>
          <w:szCs w:val="24"/>
          <w:lang w:val="es-ES_tradnl"/>
        </w:rPr>
        <w:t xml:space="preserve">: las normas versan sobre mercados mayoristas, mercados minoristas y mercados de capacidad y el objetivo es atraer inversores para la modernización de instalaciones existentes y construcción de otras nuevas. Por otra parte, </w:t>
      </w:r>
      <w:r w:rsidRPr="00ED32FF">
        <w:rPr>
          <w:b/>
          <w:szCs w:val="24"/>
          <w:lang w:val="es-ES_tradnl"/>
        </w:rPr>
        <w:t xml:space="preserve">el sistema energético ruso necesita 1,5 billones </w:t>
      </w:r>
      <w:r w:rsidR="004020EF">
        <w:rPr>
          <w:b/>
          <w:szCs w:val="24"/>
          <w:lang w:val="es-ES_tradnl"/>
        </w:rPr>
        <w:t xml:space="preserve">de </w:t>
      </w:r>
      <w:r w:rsidRPr="00ED32FF">
        <w:rPr>
          <w:b/>
          <w:szCs w:val="24"/>
          <w:lang w:val="es-ES_tradnl"/>
        </w:rPr>
        <w:t>RUB anuales de inversiones para resolver sus problemas</w:t>
      </w:r>
      <w:r w:rsidRPr="00E41779">
        <w:rPr>
          <w:szCs w:val="24"/>
          <w:lang w:val="es-ES_tradnl"/>
        </w:rPr>
        <w:t xml:space="preserve">. (Energo Week 11). Se espera además que </w:t>
      </w:r>
      <w:r w:rsidRPr="00ED32FF">
        <w:rPr>
          <w:b/>
          <w:szCs w:val="24"/>
          <w:lang w:val="es-ES_tradnl"/>
        </w:rPr>
        <w:t>en 2012 comience la privatización de los grandes grupos energéticos</w:t>
      </w:r>
      <w:r w:rsidRPr="00E41779">
        <w:rPr>
          <w:szCs w:val="24"/>
          <w:lang w:val="es-ES_tradnl"/>
        </w:rPr>
        <w:t xml:space="preserve"> como Rosneft, FSK UES (redes) y RusHydro (Energo week 13) Por otra parte</w:t>
      </w:r>
      <w:r w:rsidR="00ED32FF">
        <w:rPr>
          <w:szCs w:val="24"/>
          <w:lang w:val="es-ES_tradnl"/>
        </w:rPr>
        <w:t>,</w:t>
      </w:r>
      <w:r w:rsidRPr="00E41779">
        <w:rPr>
          <w:szCs w:val="24"/>
          <w:lang w:val="es-ES_tradnl"/>
        </w:rPr>
        <w:t xml:space="preserve"> </w:t>
      </w:r>
      <w:r w:rsidRPr="00ED32FF">
        <w:rPr>
          <w:b/>
          <w:szCs w:val="24"/>
          <w:lang w:val="es-ES_tradnl"/>
        </w:rPr>
        <w:t>Rusia quiere aumentar su objetivo de renovables del actual 1,5% a 4</w:t>
      </w:r>
      <w:r w:rsidR="00ED32FF" w:rsidRPr="00ED32FF">
        <w:rPr>
          <w:b/>
          <w:szCs w:val="24"/>
          <w:lang w:val="es-ES_tradnl"/>
        </w:rPr>
        <w:t>,5% para 2020</w:t>
      </w:r>
      <w:r w:rsidR="00ED32FF">
        <w:rPr>
          <w:szCs w:val="24"/>
          <w:lang w:val="es-ES_tradnl"/>
        </w:rPr>
        <w:t>. (Energo Week 42)</w:t>
      </w:r>
      <w:r w:rsidRPr="00E41779">
        <w:rPr>
          <w:szCs w:val="24"/>
          <w:lang w:val="es-ES_tradnl"/>
        </w:rPr>
        <w:t xml:space="preserve"> </w:t>
      </w:r>
    </w:p>
    <w:p w:rsidR="00ED32FF" w:rsidRDefault="00E41779" w:rsidP="00E41779">
      <w:pPr>
        <w:numPr>
          <w:ilvl w:val="0"/>
          <w:numId w:val="13"/>
        </w:numPr>
        <w:spacing w:before="100" w:beforeAutospacing="1" w:line="276" w:lineRule="auto"/>
        <w:ind w:left="284" w:hanging="284"/>
        <w:rPr>
          <w:szCs w:val="24"/>
          <w:lang w:val="es-ES_tradnl"/>
        </w:rPr>
      </w:pPr>
      <w:r w:rsidRPr="00ED32FF">
        <w:rPr>
          <w:b/>
          <w:szCs w:val="24"/>
          <w:lang w:val="es-ES_tradnl"/>
        </w:rPr>
        <w:t>India pone fin a los incentivos fiscales a las eólicas</w:t>
      </w:r>
      <w:r w:rsidRPr="00E41779">
        <w:rPr>
          <w:szCs w:val="24"/>
          <w:lang w:val="es-ES_tradnl"/>
        </w:rPr>
        <w:t xml:space="preserve">: hasta ahora las empresas podían pedir la depreciación acelerada del 80% del coste de sus equipos, que a partir del 1 de abril ya no podrán solicitar. (REM week 13) </w:t>
      </w:r>
    </w:p>
    <w:p w:rsidR="0039158A" w:rsidRPr="00E41779" w:rsidRDefault="00E41779" w:rsidP="00E41779">
      <w:pPr>
        <w:numPr>
          <w:ilvl w:val="0"/>
          <w:numId w:val="13"/>
        </w:numPr>
        <w:spacing w:before="100" w:beforeAutospacing="1" w:line="276" w:lineRule="auto"/>
        <w:ind w:left="284" w:hanging="284"/>
        <w:rPr>
          <w:szCs w:val="24"/>
          <w:lang w:val="es-ES_tradnl"/>
        </w:rPr>
      </w:pPr>
      <w:r w:rsidRPr="00ED32FF">
        <w:rPr>
          <w:b/>
          <w:szCs w:val="24"/>
          <w:lang w:val="es-ES_tradnl"/>
        </w:rPr>
        <w:t>El Senado Mejicano aprueba una ley sobre cambio climático</w:t>
      </w:r>
      <w:r w:rsidRPr="00E41779">
        <w:rPr>
          <w:szCs w:val="24"/>
          <w:lang w:val="es-ES_tradnl"/>
        </w:rPr>
        <w:t>, que prevé acciones para mitigar el efecto invernadero y reducir el riesgo de la población ante ese fenómeno. La ley recomienda la colaboración entre la Federación, los estados y los municipios en la elaboración y aplicación de políticas públicas. Además se crea el Instituto Nacional de Ecología y Cambio Climático y prevé la integración de un fondo para captar recursos financieros públicos, privados, nacionales e internacionales. (Varios, 23.04</w:t>
      </w:r>
      <w:r>
        <w:rPr>
          <w:szCs w:val="24"/>
          <w:lang w:val="es-ES_tradnl"/>
        </w:rPr>
        <w:t>)</w:t>
      </w:r>
      <w:r w:rsidR="0039158A" w:rsidRPr="00E41779">
        <w:rPr>
          <w:szCs w:val="24"/>
          <w:lang w:val="es-ES_tradnl"/>
        </w:rPr>
        <w:t xml:space="preserve"> </w:t>
      </w:r>
    </w:p>
    <w:p w:rsidR="000322F5" w:rsidRDefault="000322F5" w:rsidP="00600C49">
      <w:pPr>
        <w:pStyle w:val="Ttulo2"/>
      </w:pPr>
      <w:r>
        <w:t>Dará que hablar…</w:t>
      </w:r>
    </w:p>
    <w:p w:rsidR="00ED32FF" w:rsidRPr="00ED32FF" w:rsidRDefault="00ED32FF" w:rsidP="00ED32FF">
      <w:pPr>
        <w:spacing w:before="100" w:beforeAutospacing="1" w:after="100" w:afterAutospacing="1" w:line="276" w:lineRule="auto"/>
        <w:rPr>
          <w:szCs w:val="24"/>
          <w:lang w:val="es-ES_tradnl"/>
        </w:rPr>
      </w:pPr>
      <w:r w:rsidRPr="00ED32FF">
        <w:rPr>
          <w:b/>
          <w:szCs w:val="24"/>
          <w:lang w:val="es-ES_tradnl"/>
        </w:rPr>
        <w:t>El mecanismo de capacidad, cuestionado en Francia por la Autoridad de Competencia</w:t>
      </w:r>
      <w:r w:rsidRPr="00ED32FF">
        <w:rPr>
          <w:szCs w:val="24"/>
          <w:lang w:val="es-ES_tradnl"/>
        </w:rPr>
        <w:t>: Con la nueva ley de electricidad (NOME) se introducía un mecanismo de capacidad en el mercado de generación. Este mecanismo se debía desarrollar mediante Decreto que fue hecho público en marzo. Según éste, las compañías no podrían vender capacidad si no la tuviesen previamente asegurada. El Decreto prevé que el sistema se usaría para un horizonte de 4 años, aunque éste podría ser reajustado si las condiciones cambiasen, como por ejemplo mediante la disponibilidad de nueva capacidad. El mecanismo funcionaría mediante unos certificados que se podrían comercializar, con la obligación de ofrecer a ese mercado los certificados que las empresas tuviesen de modo excedentario y solo para suministradores franceses. Un análisis de la Autoridad de la competencia, afirma que la introducción de este mecanismo así planteado supondría un desincentivo a las inversiones y una clara desventaja para los comercializadores independientes y que debería ser replanteado, porque además no permite la inclusión de capacidad no francesa. (PIE 30.04)</w:t>
      </w:r>
    </w:p>
    <w:p w:rsidR="00ED32FF" w:rsidRPr="00ED32FF" w:rsidRDefault="00ED32FF" w:rsidP="00ED32FF">
      <w:pPr>
        <w:spacing w:before="100" w:beforeAutospacing="1" w:after="100" w:afterAutospacing="1" w:line="276" w:lineRule="auto"/>
        <w:rPr>
          <w:szCs w:val="24"/>
          <w:lang w:val="es-ES_tradnl"/>
        </w:rPr>
      </w:pPr>
      <w:r w:rsidRPr="00ED32FF">
        <w:rPr>
          <w:b/>
          <w:szCs w:val="24"/>
          <w:lang w:val="es-ES_tradnl"/>
        </w:rPr>
        <w:t>ISO-New England propone cambios en sus mercados para permitir a los generadores ofertas negativas de energía y a los renovables despachar en tiempo real</w:t>
      </w:r>
      <w:r w:rsidRPr="00ED32FF">
        <w:rPr>
          <w:szCs w:val="24"/>
          <w:lang w:val="es-ES_tradnl"/>
        </w:rPr>
        <w:t>: ambas propuestas están en fase inicial y no espera su implementación hasta 2014-15. Según ISONE, rebajar el precio base mejorará la eficiencia en el despacho, mejorará la habilidad de los generadores para describir de manera más ajustada sus costes y permitirá a ISO gestionar las congestiones por precio y despacho económico, más que mediante operaciones manuales o precios administrativos. En cuanto al despacho a la eólica, ISO-NE propone enviar una señal de despacho que represente el nivel de generación máximo para esa la central eólica, cada 5 minutos. ISO-NE afirma que esta medida reducirá las desconexiones manuales y permitirá a los generadores eólicos establecer su precio de la energía. (EDP 07.03)(MW 07.03)</w:t>
      </w:r>
    </w:p>
    <w:p w:rsidR="00ED32FF" w:rsidRPr="00ED32FF" w:rsidRDefault="00ED32FF" w:rsidP="00ED32FF">
      <w:pPr>
        <w:spacing w:before="100" w:beforeAutospacing="1" w:after="100" w:afterAutospacing="1" w:line="276" w:lineRule="auto"/>
        <w:rPr>
          <w:szCs w:val="24"/>
          <w:lang w:val="es-ES_tradnl"/>
        </w:rPr>
      </w:pPr>
      <w:r w:rsidRPr="00ED32FF">
        <w:rPr>
          <w:b/>
          <w:szCs w:val="24"/>
          <w:lang w:val="es-ES_tradnl"/>
        </w:rPr>
        <w:t>La EPA ha propuesto nuevos límites de CO2 para las centrales eléctricas nuevas</w:t>
      </w:r>
      <w:r w:rsidRPr="00ED32FF">
        <w:rPr>
          <w:szCs w:val="24"/>
          <w:lang w:val="es-ES_tradnl"/>
        </w:rPr>
        <w:t>: lo cual perjudicará a las nuevas centrales de carbón que emiten unas 0,73 toneladas métricas/MWh y provocará que las nuevas centrales instalen tecnología de CCS. En 2011 el 42% de la electricidad provino de carbón. (Financial Times 28.03, EPD 28.03, 29.03). Este nuevo estándar de CO2 no afectará a cerca de 6,6</w:t>
      </w:r>
      <w:r w:rsidR="004020EF">
        <w:rPr>
          <w:szCs w:val="24"/>
          <w:lang w:val="es-ES_tradnl"/>
        </w:rPr>
        <w:t xml:space="preserve"> </w:t>
      </w:r>
      <w:r w:rsidRPr="00ED32FF">
        <w:rPr>
          <w:szCs w:val="24"/>
          <w:lang w:val="es-ES_tradnl"/>
        </w:rPr>
        <w:t>GW que entrarán en funcionamiento en 2014 por estar en construcción. El estándar propuesto por EPA es de 1.000 libras de CO2 por MWh para nuevas centrales de más de 25</w:t>
      </w:r>
      <w:r w:rsidR="004020EF">
        <w:rPr>
          <w:szCs w:val="24"/>
          <w:lang w:val="es-ES_tradnl"/>
        </w:rPr>
        <w:t xml:space="preserve"> </w:t>
      </w:r>
      <w:r w:rsidRPr="00ED32FF">
        <w:rPr>
          <w:szCs w:val="24"/>
          <w:lang w:val="es-ES_tradnl"/>
        </w:rPr>
        <w:t>MW (la emisión de de referencia de un ciclo combinado de gas). La central de carbón más eficiente emite cerca de 1800 libras/MWh. (EUW 04.02). A la vista de su implementación varios senadores demócratas se han reunido con la EPA para discutir con más detalle esta propuesta (EPD 25.04)</w:t>
      </w:r>
    </w:p>
    <w:p w:rsidR="00ED32FF" w:rsidRPr="00ED32FF" w:rsidRDefault="00ED32FF" w:rsidP="00ED32FF">
      <w:pPr>
        <w:spacing w:before="100" w:beforeAutospacing="1" w:after="100" w:afterAutospacing="1" w:line="276" w:lineRule="auto"/>
        <w:rPr>
          <w:rFonts w:cs="Arial"/>
        </w:rPr>
      </w:pPr>
      <w:r w:rsidRPr="00ED32FF">
        <w:rPr>
          <w:b/>
          <w:szCs w:val="24"/>
          <w:lang w:val="es-ES_tradnl"/>
        </w:rPr>
        <w:t>Según BNEF, el precio de la eólica caerá en 2012 tras un descenso en el precio de las turbinas del 4%,</w:t>
      </w:r>
      <w:r w:rsidRPr="00ED32FF">
        <w:rPr>
          <w:szCs w:val="24"/>
          <w:lang w:val="es-ES_tradnl"/>
        </w:rPr>
        <w:t xml:space="preserve"> debido en parte al aumento de la competencia de China y a un exceso de capacidad: se estima que los precios no se recuperarán hasta 2014. Esta tendencia de caída de los costes se registra a nivel mundial. (REM week 10)</w:t>
      </w:r>
      <w:r w:rsidR="00B52633" w:rsidRPr="00ED32FF">
        <w:rPr>
          <w:szCs w:val="24"/>
          <w:lang w:val="es-ES_tradnl"/>
        </w:rPr>
        <w:t>.</w:t>
      </w:r>
      <w:r w:rsidR="00675058" w:rsidRPr="00ED32FF">
        <w:rPr>
          <w:rFonts w:cs="Arial"/>
        </w:rPr>
        <w:t xml:space="preserve"> </w:t>
      </w:r>
    </w:p>
    <w:p w:rsidR="000322F5" w:rsidRPr="00E46E70" w:rsidRDefault="000322F5" w:rsidP="00600C49">
      <w:pPr>
        <w:pStyle w:val="Ttulo2"/>
      </w:pPr>
      <w:r w:rsidRPr="00E46E70">
        <w:t>Glosario</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AEEG: Autorita della Energia elettrica i del Gas. Regulador italiano.</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AREHN: L'accès régulé à l'électricité nucléaire historique. Mecanismo previsto en ley sobre el mercado de electricidad francés (NOME) por el cual EDF debía vender parte de su producción nuclear a sus competidores.</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AWEA: American Wind Energy Association</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BNEF: Bloomberg New Energy Finance</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BPA: Bonneville Power Administration, Agencia federal que transporta y vende electricidad en ocho estados del oeste de EEUU: Washington, Oregon, Idaho, Montana, Wyoming, Utah, Nevada, y California.</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Cal ISO: California independent system operator</w:t>
      </w:r>
    </w:p>
    <w:p w:rsidR="00ED32FF" w:rsidRPr="00ED32FF" w:rsidRDefault="00ED32FF" w:rsidP="00ED32FF">
      <w:pPr>
        <w:spacing w:before="100" w:beforeAutospacing="1" w:after="100" w:afterAutospacing="1" w:line="276" w:lineRule="auto"/>
        <w:rPr>
          <w:szCs w:val="24"/>
          <w:lang w:val="es-ES_tradnl"/>
        </w:rPr>
      </w:pPr>
      <w:r w:rsidRPr="00E46E70">
        <w:rPr>
          <w:szCs w:val="24"/>
          <w:lang w:val="en-US"/>
        </w:rPr>
        <w:t xml:space="preserve">CCS: Carbon capture and storage. </w:t>
      </w:r>
      <w:r w:rsidRPr="00ED32FF">
        <w:rPr>
          <w:szCs w:val="24"/>
          <w:lang w:val="es-ES_tradnl"/>
        </w:rPr>
        <w:t>Captura y almacenamiento de carbono.</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CE: Comisión Europea.</w:t>
      </w:r>
    </w:p>
    <w:p w:rsidR="00ED32FF" w:rsidRPr="00ED32FF" w:rsidRDefault="00ED32FF" w:rsidP="00ED32FF">
      <w:pPr>
        <w:spacing w:before="100" w:beforeAutospacing="1" w:after="100" w:afterAutospacing="1" w:line="276" w:lineRule="auto"/>
        <w:rPr>
          <w:szCs w:val="24"/>
          <w:lang w:val="es-ES_tradnl"/>
        </w:rPr>
      </w:pPr>
      <w:r w:rsidRPr="00E46E70">
        <w:rPr>
          <w:szCs w:val="24"/>
          <w:lang w:val="en-US"/>
        </w:rPr>
        <w:t xml:space="preserve">CHP: combined heat and power. </w:t>
      </w:r>
      <w:r w:rsidRPr="00ED32FF">
        <w:rPr>
          <w:szCs w:val="24"/>
          <w:lang w:val="es-ES_tradnl"/>
        </w:rPr>
        <w:t>Central de ciclo combinado.</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CSPE: Contribution au Service Public de l'Electricité. La CSPE sirve para compensar a Electricité de France (EDF) por las obligaciones que tiene que cumplir, como la compra de electricidad de origen eólico o solar.</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DENA: Deutsche Energie Agentur. Agencia de energías renovables alemana.</w:t>
      </w:r>
    </w:p>
    <w:p w:rsidR="00ED32FF" w:rsidRPr="00ED32FF" w:rsidRDefault="00ED32FF" w:rsidP="00ED32FF">
      <w:pPr>
        <w:spacing w:before="100" w:beforeAutospacing="1" w:after="100" w:afterAutospacing="1" w:line="276" w:lineRule="auto"/>
        <w:rPr>
          <w:szCs w:val="24"/>
          <w:lang w:val="es-ES_tradnl"/>
        </w:rPr>
      </w:pPr>
      <w:r w:rsidRPr="00E46E70">
        <w:rPr>
          <w:szCs w:val="24"/>
          <w:lang w:val="en-US"/>
        </w:rPr>
        <w:t xml:space="preserve">DOE: Department of Energy, USA. </w:t>
      </w:r>
      <w:r w:rsidRPr="00ED32FF">
        <w:rPr>
          <w:szCs w:val="24"/>
          <w:lang w:val="es-ES_tradnl"/>
        </w:rPr>
        <w:t>Departamento de energía de los EEUU.</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EEUU: Estados Unidos de América</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EDF: Electricité de France.</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EPA: Environmental Protection Agency. Agencia de protección medioambiental estadounidense.</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EPD: Electric Power Daily.</w:t>
      </w:r>
    </w:p>
    <w:p w:rsidR="00ED32FF" w:rsidRPr="00ED32FF" w:rsidRDefault="00ED32FF" w:rsidP="00ED32FF">
      <w:pPr>
        <w:spacing w:before="100" w:beforeAutospacing="1" w:after="100" w:afterAutospacing="1" w:line="276" w:lineRule="auto"/>
        <w:rPr>
          <w:szCs w:val="24"/>
          <w:lang w:val="es-ES_tradnl"/>
        </w:rPr>
      </w:pPr>
      <w:r w:rsidRPr="00E46E70">
        <w:rPr>
          <w:szCs w:val="24"/>
          <w:lang w:val="en-US"/>
        </w:rPr>
        <w:t xml:space="preserve">ERCOT: Electric Reliability Council of Texas. </w:t>
      </w:r>
      <w:r w:rsidRPr="00ED32FF">
        <w:rPr>
          <w:szCs w:val="24"/>
          <w:lang w:val="es-ES_tradnl"/>
        </w:rPr>
        <w:t>Operador de la red de gran parte de Texas.</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EUE: EU Energy, Platts.</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EUPD: European power daily, Platts</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EPD: Electric power daily, Platts</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EUW: electric utility week.</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EUR: Euro</w:t>
      </w:r>
    </w:p>
    <w:p w:rsidR="00ED32FF" w:rsidRPr="00ED32FF" w:rsidRDefault="00ED32FF" w:rsidP="00ED32FF">
      <w:pPr>
        <w:spacing w:before="100" w:beforeAutospacing="1" w:after="100" w:afterAutospacing="1" w:line="276" w:lineRule="auto"/>
        <w:rPr>
          <w:szCs w:val="24"/>
          <w:lang w:val="es-ES_tradnl"/>
        </w:rPr>
      </w:pPr>
      <w:r w:rsidRPr="00E46E70">
        <w:rPr>
          <w:szCs w:val="24"/>
          <w:lang w:val="en-US"/>
        </w:rPr>
        <w:t xml:space="preserve">FERC: Federal Energy Regulatory Commission. </w:t>
      </w:r>
      <w:r w:rsidRPr="00ED32FF">
        <w:rPr>
          <w:szCs w:val="24"/>
          <w:lang w:val="es-ES_tradnl"/>
        </w:rPr>
        <w:t>Comisión federal de regulación energética estadounidense.</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FIT: Feed in tariffs. Tarifas fijas.</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GNL: gas natural licuado.</w:t>
      </w:r>
    </w:p>
    <w:p w:rsidR="00ED32FF" w:rsidRPr="00E46E70" w:rsidRDefault="00ED32FF" w:rsidP="00ED32FF">
      <w:pPr>
        <w:spacing w:before="100" w:beforeAutospacing="1" w:after="100" w:afterAutospacing="1" w:line="276" w:lineRule="auto"/>
        <w:rPr>
          <w:szCs w:val="24"/>
          <w:lang w:val="en-US"/>
        </w:rPr>
      </w:pPr>
      <w:r w:rsidRPr="00ED32FF">
        <w:rPr>
          <w:szCs w:val="24"/>
          <w:lang w:val="es-ES_tradnl"/>
        </w:rPr>
        <w:t xml:space="preserve">ISO: Independent system operator. Operador independiente del sistema. </w:t>
      </w:r>
      <w:r w:rsidRPr="00E46E70">
        <w:rPr>
          <w:szCs w:val="24"/>
          <w:lang w:val="en-US"/>
        </w:rPr>
        <w:t>ISO NE: ISO New England. ISO NY, ISO New York.</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LCPD: European Commission’s Large Combustion Plant Directive.</w:t>
      </w:r>
    </w:p>
    <w:p w:rsidR="00ED32FF" w:rsidRPr="00ED32FF" w:rsidRDefault="00ED32FF" w:rsidP="00ED32FF">
      <w:pPr>
        <w:spacing w:before="100" w:beforeAutospacing="1" w:after="100" w:afterAutospacing="1" w:line="276" w:lineRule="auto"/>
        <w:rPr>
          <w:szCs w:val="24"/>
          <w:lang w:val="es-ES_tradnl"/>
        </w:rPr>
      </w:pPr>
      <w:r w:rsidRPr="00E46E70">
        <w:rPr>
          <w:szCs w:val="24"/>
          <w:lang w:val="en-US"/>
        </w:rPr>
        <w:t xml:space="preserve">MISO: Midwest independent system operator. </w:t>
      </w:r>
      <w:r w:rsidRPr="00ED32FF">
        <w:rPr>
          <w:szCs w:val="24"/>
          <w:lang w:val="es-ES_tradnl"/>
        </w:rPr>
        <w:t>Incluye gran parte de North Dakota, South Dakota, Nebraska, Minnesota, Iowa, Wisconsin, Illinois, Indiana, Michigan y partes deMontana, Mossouri, Kentucky y Ohio.</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MoU: memorándum of understanding. Acuerdo de cooperación.</w:t>
      </w:r>
    </w:p>
    <w:p w:rsidR="00ED32FF" w:rsidRPr="00ED32FF" w:rsidRDefault="00ED32FF" w:rsidP="00ED32FF">
      <w:pPr>
        <w:spacing w:before="100" w:beforeAutospacing="1" w:after="100" w:afterAutospacing="1" w:line="276" w:lineRule="auto"/>
        <w:rPr>
          <w:szCs w:val="24"/>
          <w:lang w:val="es-ES_tradnl"/>
        </w:rPr>
      </w:pPr>
      <w:r w:rsidRPr="00E46E70">
        <w:rPr>
          <w:szCs w:val="24"/>
          <w:lang w:val="en-US"/>
        </w:rPr>
        <w:t xml:space="preserve">NERC: North American Electric Reliability Corporation. </w:t>
      </w:r>
      <w:r w:rsidRPr="00ED32FF">
        <w:rPr>
          <w:szCs w:val="24"/>
          <w:lang w:val="es-ES_tradnl"/>
        </w:rPr>
        <w:t>Asociación de operadores de redes estadounidenses.</w:t>
      </w:r>
    </w:p>
    <w:p w:rsidR="000322F5" w:rsidRDefault="00ED32FF" w:rsidP="00ED32FF">
      <w:pPr>
        <w:spacing w:before="100" w:beforeAutospacing="1" w:after="100" w:afterAutospacing="1" w:line="276" w:lineRule="auto"/>
        <w:rPr>
          <w:szCs w:val="24"/>
          <w:lang w:val="es-ES_tradnl"/>
        </w:rPr>
      </w:pPr>
      <w:r w:rsidRPr="00E46E70">
        <w:rPr>
          <w:szCs w:val="24"/>
          <w:lang w:val="en-US"/>
        </w:rPr>
        <w:t xml:space="preserve">NWS: National Weather Service Space Weather Prediction Center. </w:t>
      </w:r>
      <w:r w:rsidRPr="00ED32FF">
        <w:rPr>
          <w:szCs w:val="24"/>
          <w:lang w:val="es-ES_tradnl"/>
        </w:rPr>
        <w:t>Centro de predicción espacial y climática de EEUU.</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PIE: Power in Europe, Platts</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PJM Interconnection: Organización regional de transporte de electricidad (regional transmission organization -RTO) que coordina los movimientos de electricidad mayoristas en parte o en su totalidad de los siguientes estados: Delaware, Illinois, Indiana, Kentucky, Maryland, Michigan, New Jersey, North Carolina, Ohio, Pennsylvania, Tennessee, Virginia, West Virginia y el Distrito de Columbia.</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PTC: Production tax credit.</w:t>
      </w:r>
    </w:p>
    <w:p w:rsidR="00ED32FF" w:rsidRPr="00ED32FF" w:rsidRDefault="00ED32FF" w:rsidP="00ED32FF">
      <w:pPr>
        <w:spacing w:before="100" w:beforeAutospacing="1" w:after="100" w:afterAutospacing="1" w:line="276" w:lineRule="auto"/>
        <w:rPr>
          <w:szCs w:val="24"/>
          <w:lang w:val="es-ES_tradnl"/>
        </w:rPr>
      </w:pPr>
      <w:r w:rsidRPr="00E46E70">
        <w:rPr>
          <w:szCs w:val="24"/>
          <w:lang w:val="en-US"/>
        </w:rPr>
        <w:t xml:space="preserve">PPA: Power Purchase Agreements. </w:t>
      </w:r>
      <w:r w:rsidRPr="00ED32FF">
        <w:rPr>
          <w:szCs w:val="24"/>
          <w:lang w:val="es-ES_tradnl"/>
        </w:rPr>
        <w:t>Acuerdos de compra de energía generalmente a largo plazo.</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PSC: Public Service Commission. Agencia regulatoria de supervisión de empresas reguladas estadounidense.</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PUC: Public Utility Commission. Agencias que regulan a nivel estatal las utilities de servicios esenciales.</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REC: renewable energy credits. Es un crédito fiscal ofrecido por una autoridad fiscal local o federal como incentivo para la instalación y operación de energía renovable.</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REM: renewable energy monitor.</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RER: Renewable Energy Report, Platts</w:t>
      </w:r>
    </w:p>
    <w:p w:rsidR="00ED32FF" w:rsidRPr="00E46E70" w:rsidRDefault="00ED32FF" w:rsidP="00ED32FF">
      <w:pPr>
        <w:spacing w:before="100" w:beforeAutospacing="1" w:after="100" w:afterAutospacing="1" w:line="276" w:lineRule="auto"/>
        <w:rPr>
          <w:szCs w:val="24"/>
          <w:lang w:val="en-US"/>
        </w:rPr>
      </w:pPr>
      <w:r w:rsidRPr="00E46E70">
        <w:rPr>
          <w:szCs w:val="24"/>
          <w:lang w:val="en-US"/>
        </w:rPr>
        <w:t>RPS: renewable portfolio standard.</w:t>
      </w:r>
    </w:p>
    <w:p w:rsidR="00ED32FF" w:rsidRPr="00ED32FF" w:rsidRDefault="00ED32FF" w:rsidP="00ED32FF">
      <w:pPr>
        <w:spacing w:before="100" w:beforeAutospacing="1" w:after="100" w:afterAutospacing="1" w:line="276" w:lineRule="auto"/>
        <w:rPr>
          <w:szCs w:val="24"/>
          <w:lang w:val="es-ES_tradnl"/>
        </w:rPr>
      </w:pPr>
      <w:r w:rsidRPr="00E46E70">
        <w:rPr>
          <w:szCs w:val="24"/>
          <w:lang w:val="en-US"/>
        </w:rPr>
        <w:t xml:space="preserve">RTO: Regional transmission operator. </w:t>
      </w:r>
      <w:r w:rsidRPr="00ED32FF">
        <w:rPr>
          <w:szCs w:val="24"/>
          <w:lang w:val="es-ES_tradnl"/>
        </w:rPr>
        <w:t>Operador regional de transporte.</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RUB: Rublos.</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TSO: transmission system operator. Operador de la red de transporte.</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UE: Unión Europea</w:t>
      </w:r>
    </w:p>
    <w:p w:rsidR="00ED32FF" w:rsidRPr="00ED32FF" w:rsidRDefault="00ED32FF" w:rsidP="00ED32FF">
      <w:pPr>
        <w:spacing w:before="100" w:beforeAutospacing="1" w:after="100" w:afterAutospacing="1" w:line="276" w:lineRule="auto"/>
        <w:rPr>
          <w:szCs w:val="24"/>
          <w:lang w:val="es-ES_tradnl"/>
        </w:rPr>
      </w:pPr>
      <w:r w:rsidRPr="00ED32FF">
        <w:rPr>
          <w:szCs w:val="24"/>
          <w:lang w:val="es-ES_tradnl"/>
        </w:rPr>
        <w:t>USD: Dolar Americano</w:t>
      </w:r>
    </w:p>
    <w:p w:rsidR="00ED32FF" w:rsidRPr="00B52633" w:rsidRDefault="00ED32FF" w:rsidP="00ED32FF">
      <w:pPr>
        <w:spacing w:before="100" w:beforeAutospacing="1" w:after="100" w:afterAutospacing="1" w:line="276" w:lineRule="auto"/>
        <w:rPr>
          <w:szCs w:val="24"/>
          <w:lang w:val="es-ES_tradnl"/>
        </w:rPr>
      </w:pPr>
      <w:r w:rsidRPr="00ED32FF">
        <w:rPr>
          <w:szCs w:val="24"/>
          <w:lang w:val="es-ES_tradnl"/>
        </w:rPr>
        <w:t>WCI: Western Climate Initiative. Iniciativa de ciertas regiones y Estados de Norteamérica creada en 2007 para luchar contra el cambio climático. (Arizona, California, Montana, New Mexico, Oregon, Utah, Washington, British Columbia, Manitoba, Ontario, and Quebec). En noviembre de 2011 abandonaron Arizona, Montana, New Mexico, Oregon, Utah y Washington. Formada actualmente por British Columbia, California, Manitoba, Ontario y Quebec.</w:t>
      </w:r>
    </w:p>
    <w:sectPr w:rsidR="00ED32FF" w:rsidRPr="00B52633" w:rsidSect="005276F6">
      <w:headerReference w:type="even" r:id="rId15"/>
      <w:headerReference w:type="default" r:id="rId16"/>
      <w:footerReference w:type="even" r:id="rId17"/>
      <w:footerReference w:type="default" r:id="rId18"/>
      <w:headerReference w:type="first" r:id="rId19"/>
      <w:footerReference w:type="first" r:id="rId20"/>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7CC4" w:rsidRDefault="00F27CC4" w:rsidP="006A35D8">
      <w:r>
        <w:separator/>
      </w:r>
    </w:p>
  </w:endnote>
  <w:endnote w:type="continuationSeparator" w:id="0">
    <w:p w:rsidR="00F27CC4" w:rsidRDefault="00F27CC4" w:rsidP="006A35D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C4" w:rsidRDefault="00F27CC4">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szCs w:val="20"/>
      </w:rPr>
      <w:id w:val="80783547"/>
      <w:docPartObj>
        <w:docPartGallery w:val="Page Numbers (Bottom of Page)"/>
        <w:docPartUnique/>
      </w:docPartObj>
    </w:sdtPr>
    <w:sdtEndPr>
      <w:rPr>
        <w:szCs w:val="22"/>
      </w:rPr>
    </w:sdtEndPr>
    <w:sdtContent>
      <w:p w:rsidR="00F27CC4" w:rsidRPr="00CF0576" w:rsidRDefault="001838B1" w:rsidP="00CF0576">
        <w:pPr>
          <w:pStyle w:val="Piedepgina"/>
          <w:tabs>
            <w:tab w:val="clear" w:pos="8504"/>
            <w:tab w:val="right" w:pos="8789"/>
          </w:tabs>
          <w:spacing w:after="0"/>
          <w:jc w:val="center"/>
          <w:rPr>
            <w:szCs w:val="20"/>
          </w:rPr>
        </w:pPr>
        <w:r w:rsidRPr="00CF0576">
          <w:rPr>
            <w:szCs w:val="20"/>
          </w:rPr>
          <w:fldChar w:fldCharType="begin"/>
        </w:r>
        <w:r w:rsidR="00F27CC4" w:rsidRPr="00CF0576">
          <w:rPr>
            <w:szCs w:val="20"/>
          </w:rPr>
          <w:instrText xml:space="preserve"> PAGE   \* MERGEFORMAT </w:instrText>
        </w:r>
        <w:r w:rsidRPr="00CF0576">
          <w:rPr>
            <w:szCs w:val="20"/>
          </w:rPr>
          <w:fldChar w:fldCharType="separate"/>
        </w:r>
        <w:r w:rsidR="0025473C">
          <w:rPr>
            <w:noProof/>
            <w:szCs w:val="20"/>
          </w:rPr>
          <w:t>1</w:t>
        </w:r>
        <w:r w:rsidRPr="00CF0576">
          <w:rPr>
            <w:szCs w:val="20"/>
          </w:rPr>
          <w:fldChar w:fldCharType="end"/>
        </w:r>
        <w:r w:rsidR="00F27CC4" w:rsidRPr="00CF0576">
          <w:rPr>
            <w:szCs w:val="20"/>
          </w:rPr>
          <w:t xml:space="preserve"> </w:t>
        </w:r>
        <w:r w:rsidR="00F27CC4" w:rsidRPr="00CF0576">
          <w:rPr>
            <w:rStyle w:val="Nmerodepgina"/>
            <w:szCs w:val="20"/>
          </w:rPr>
          <w:t xml:space="preserve">de </w:t>
        </w:r>
        <w:r w:rsidRPr="00CF0576">
          <w:rPr>
            <w:rStyle w:val="Nmerodepgina"/>
            <w:szCs w:val="20"/>
          </w:rPr>
          <w:fldChar w:fldCharType="begin"/>
        </w:r>
        <w:r w:rsidR="00F27CC4" w:rsidRPr="00CF0576">
          <w:rPr>
            <w:rStyle w:val="Nmerodepgina"/>
            <w:szCs w:val="20"/>
          </w:rPr>
          <w:instrText xml:space="preserve"> NUMPAGES </w:instrText>
        </w:r>
        <w:r w:rsidRPr="00CF0576">
          <w:rPr>
            <w:rStyle w:val="Nmerodepgina"/>
            <w:szCs w:val="20"/>
          </w:rPr>
          <w:fldChar w:fldCharType="separate"/>
        </w:r>
        <w:r w:rsidR="0025473C">
          <w:rPr>
            <w:rStyle w:val="Nmerodepgina"/>
            <w:noProof/>
            <w:szCs w:val="20"/>
          </w:rPr>
          <w:t>14</w:t>
        </w:r>
        <w:r w:rsidRPr="00CF0576">
          <w:rPr>
            <w:rStyle w:val="Nmerodepgina"/>
            <w:szCs w:val="20"/>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C4" w:rsidRDefault="00F27CC4">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7CC4" w:rsidRDefault="00F27CC4" w:rsidP="006A35D8">
      <w:r>
        <w:separator/>
      </w:r>
    </w:p>
  </w:footnote>
  <w:footnote w:type="continuationSeparator" w:id="0">
    <w:p w:rsidR="00F27CC4" w:rsidRDefault="00F27CC4" w:rsidP="006A35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C4" w:rsidRDefault="00F27CC4">
    <w:pPr>
      <w:pStyle w:val="Encabezado"/>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C4" w:rsidRDefault="00F27CC4" w:rsidP="006A35D8">
    <w:pPr>
      <w:pStyle w:val="Encabezado"/>
      <w:jc w:val="center"/>
    </w:pPr>
    <w:r>
      <w:rPr>
        <w:noProof/>
        <w:lang w:eastAsia="es-ES"/>
      </w:rPr>
      <w:drawing>
        <wp:inline distT="0" distB="0" distL="0" distR="0">
          <wp:extent cx="1248410" cy="779145"/>
          <wp:effectExtent l="19050" t="0" r="889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248410" cy="779145"/>
                  </a:xfrm>
                  <a:prstGeom prst="rect">
                    <a:avLst/>
                  </a:prstGeom>
                  <a:noFill/>
                  <a:ln w="9525">
                    <a:noFill/>
                    <a:miter lim="800000"/>
                    <a:headEnd/>
                    <a:tailEnd/>
                  </a:ln>
                </pic:spPr>
              </pic:pic>
            </a:graphicData>
          </a:graphic>
        </wp:inline>
      </w:drawing>
    </w:r>
    <w:r w:rsidRPr="002D3467">
      <w:rPr>
        <w:rFonts w:ascii="Times New Roman" w:hAnsi="Times New Roman"/>
        <w:snapToGrid w:val="0"/>
        <w:color w:val="000000"/>
        <w:w w:val="0"/>
        <w:sz w:val="0"/>
        <w:szCs w:val="0"/>
        <w:u w:color="000000"/>
        <w:bdr w:val="none" w:sz="0" w:space="0" w:color="000000"/>
        <w:shd w:val="clear" w:color="000000" w:fill="000000"/>
      </w:rPr>
      <w:t xml:space="preserve"> </w:t>
    </w:r>
  </w:p>
  <w:p w:rsidR="00F27CC4" w:rsidRDefault="00F27CC4" w:rsidP="006A35D8">
    <w:pPr>
      <w:pStyle w:val="Encabezado"/>
      <w:jc w:val="center"/>
    </w:pPr>
  </w:p>
  <w:p w:rsidR="00F27CC4" w:rsidRDefault="00F27CC4" w:rsidP="006A35D8">
    <w:pPr>
      <w:pStyle w:val="Encabezado"/>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7CC4" w:rsidRDefault="00F27CC4">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37409"/>
    <w:multiLevelType w:val="hybridMultilevel"/>
    <w:tmpl w:val="9CBEAEB8"/>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
    <w:nsid w:val="07D80A68"/>
    <w:multiLevelType w:val="hybridMultilevel"/>
    <w:tmpl w:val="CBA6435E"/>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2">
    <w:nsid w:val="095B09F2"/>
    <w:multiLevelType w:val="hybridMultilevel"/>
    <w:tmpl w:val="5E22C0E6"/>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3">
    <w:nsid w:val="0D9001AE"/>
    <w:multiLevelType w:val="hybridMultilevel"/>
    <w:tmpl w:val="E32A66E0"/>
    <w:lvl w:ilvl="0" w:tplc="85F46870">
      <w:start w:val="1"/>
      <w:numFmt w:val="bullet"/>
      <w:pStyle w:val="Sinespaciado"/>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12561AE"/>
    <w:multiLevelType w:val="hybridMultilevel"/>
    <w:tmpl w:val="1E9CB0A6"/>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5">
    <w:nsid w:val="18343292"/>
    <w:multiLevelType w:val="hybridMultilevel"/>
    <w:tmpl w:val="5A90CD42"/>
    <w:lvl w:ilvl="0" w:tplc="157C8992">
      <w:start w:val="1"/>
      <w:numFmt w:val="bullet"/>
      <w:lvlText w:val=""/>
      <w:lvlJc w:val="left"/>
      <w:pPr>
        <w:tabs>
          <w:tab w:val="num" w:pos="360"/>
        </w:tabs>
        <w:ind w:left="360" w:hanging="360"/>
      </w:pPr>
      <w:rPr>
        <w:rFonts w:ascii="Symbol" w:hAnsi="Symbol" w:hint="default"/>
        <w:color w:val="auto"/>
      </w:rPr>
    </w:lvl>
    <w:lvl w:ilvl="1" w:tplc="0C0A0003">
      <w:start w:val="1"/>
      <w:numFmt w:val="bullet"/>
      <w:lvlText w:val="o"/>
      <w:lvlJc w:val="left"/>
      <w:pPr>
        <w:tabs>
          <w:tab w:val="num" w:pos="1080"/>
        </w:tabs>
        <w:ind w:left="1080" w:hanging="360"/>
      </w:pPr>
      <w:rPr>
        <w:rFonts w:ascii="Courier New" w:hAnsi="Courier New" w:hint="default"/>
        <w:color w:val="auto"/>
      </w:rPr>
    </w:lvl>
    <w:lvl w:ilvl="2" w:tplc="0C0A0005">
      <w:start w:val="1"/>
      <w:numFmt w:val="decimal"/>
      <w:lvlText w:val="%3."/>
      <w:lvlJc w:val="left"/>
      <w:pPr>
        <w:tabs>
          <w:tab w:val="num" w:pos="2160"/>
        </w:tabs>
        <w:ind w:left="2160" w:hanging="360"/>
      </w:pPr>
      <w:rPr>
        <w:rFonts w:cs="Times New Roman"/>
      </w:rPr>
    </w:lvl>
    <w:lvl w:ilvl="3" w:tplc="0C0A0001">
      <w:start w:val="1"/>
      <w:numFmt w:val="bullet"/>
      <w:lvlText w:val=""/>
      <w:lvlJc w:val="left"/>
      <w:pPr>
        <w:tabs>
          <w:tab w:val="num" w:pos="2520"/>
        </w:tabs>
        <w:ind w:left="2520" w:hanging="360"/>
      </w:pPr>
      <w:rPr>
        <w:rFonts w:ascii="Symbol" w:hAnsi="Symbol" w:hint="default"/>
        <w:color w:val="auto"/>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6">
    <w:nsid w:val="22C23471"/>
    <w:multiLevelType w:val="hybridMultilevel"/>
    <w:tmpl w:val="2898B732"/>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7">
    <w:nsid w:val="23EF477A"/>
    <w:multiLevelType w:val="hybridMultilevel"/>
    <w:tmpl w:val="B53EB836"/>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nsid w:val="2F2C6A3E"/>
    <w:multiLevelType w:val="hybridMultilevel"/>
    <w:tmpl w:val="1C38E37A"/>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9">
    <w:nsid w:val="35EB43F4"/>
    <w:multiLevelType w:val="hybridMultilevel"/>
    <w:tmpl w:val="7302A096"/>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0">
    <w:nsid w:val="3F6D7856"/>
    <w:multiLevelType w:val="hybridMultilevel"/>
    <w:tmpl w:val="902EB3A4"/>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1">
    <w:nsid w:val="462F294C"/>
    <w:multiLevelType w:val="hybridMultilevel"/>
    <w:tmpl w:val="E04C78C6"/>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2">
    <w:nsid w:val="482331AB"/>
    <w:multiLevelType w:val="hybridMultilevel"/>
    <w:tmpl w:val="31BAF468"/>
    <w:lvl w:ilvl="0" w:tplc="0C0A0005">
      <w:start w:val="1"/>
      <w:numFmt w:val="bullet"/>
      <w:lvlText w:val=""/>
      <w:lvlJc w:val="left"/>
      <w:pPr>
        <w:tabs>
          <w:tab w:val="num" w:pos="360"/>
        </w:tabs>
        <w:ind w:left="360" w:hanging="360"/>
      </w:pPr>
      <w:rPr>
        <w:rFonts w:ascii="Wingdings" w:hAnsi="Wingdings" w:hint="default"/>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abstractNum w:abstractNumId="13">
    <w:nsid w:val="482D3325"/>
    <w:multiLevelType w:val="hybridMultilevel"/>
    <w:tmpl w:val="B644F890"/>
    <w:lvl w:ilvl="0" w:tplc="0C0A0005">
      <w:start w:val="1"/>
      <w:numFmt w:val="bullet"/>
      <w:lvlText w:val=""/>
      <w:lvlJc w:val="left"/>
      <w:pPr>
        <w:tabs>
          <w:tab w:val="num" w:pos="360"/>
        </w:tabs>
        <w:ind w:left="360" w:hanging="360"/>
      </w:pPr>
      <w:rPr>
        <w:rFonts w:ascii="Wingdings" w:hAnsi="Wingdings" w:hint="default"/>
        <w:color w:val="auto"/>
      </w:rPr>
    </w:lvl>
    <w:lvl w:ilvl="1" w:tplc="0C0A0003">
      <w:start w:val="1"/>
      <w:numFmt w:val="bullet"/>
      <w:lvlText w:val="o"/>
      <w:lvlJc w:val="left"/>
      <w:pPr>
        <w:tabs>
          <w:tab w:val="num" w:pos="1080"/>
        </w:tabs>
        <w:ind w:left="1080" w:hanging="360"/>
      </w:pPr>
      <w:rPr>
        <w:rFonts w:ascii="Courier New" w:hAnsi="Courier New" w:cs="Courier New" w:hint="default"/>
        <w:color w:val="auto"/>
      </w:rPr>
    </w:lvl>
    <w:lvl w:ilvl="2" w:tplc="0C0A0005" w:tentative="1">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color w:val="auto"/>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14">
    <w:nsid w:val="59AF4A12"/>
    <w:multiLevelType w:val="hybridMultilevel"/>
    <w:tmpl w:val="9C96ACB2"/>
    <w:lvl w:ilvl="0" w:tplc="ABCA03FA">
      <w:start w:val="1"/>
      <w:numFmt w:val="bullet"/>
      <w:lvlText w:val=""/>
      <w:lvlJc w:val="left"/>
      <w:pPr>
        <w:tabs>
          <w:tab w:val="num" w:pos="360"/>
        </w:tabs>
        <w:ind w:left="360" w:hanging="360"/>
      </w:pPr>
      <w:rPr>
        <w:rFonts w:ascii="Symbol" w:hAnsi="Symbol" w:hint="default"/>
        <w:color w:val="auto"/>
      </w:rPr>
    </w:lvl>
    <w:lvl w:ilvl="1" w:tplc="0C0A0003">
      <w:start w:val="1"/>
      <w:numFmt w:val="decimal"/>
      <w:lvlText w:val="%2."/>
      <w:lvlJc w:val="left"/>
      <w:pPr>
        <w:tabs>
          <w:tab w:val="num" w:pos="1440"/>
        </w:tabs>
        <w:ind w:left="1440" w:hanging="360"/>
      </w:pPr>
      <w:rPr>
        <w:rFonts w:cs="Times New Roman"/>
      </w:rPr>
    </w:lvl>
    <w:lvl w:ilvl="2" w:tplc="0C0A0005">
      <w:start w:val="1"/>
      <w:numFmt w:val="decimal"/>
      <w:lvlText w:val="%3."/>
      <w:lvlJc w:val="left"/>
      <w:pPr>
        <w:tabs>
          <w:tab w:val="num" w:pos="2160"/>
        </w:tabs>
        <w:ind w:left="2160" w:hanging="360"/>
      </w:pPr>
      <w:rPr>
        <w:rFonts w:cs="Times New Roman"/>
      </w:rPr>
    </w:lvl>
    <w:lvl w:ilvl="3" w:tplc="0C0A0001">
      <w:start w:val="1"/>
      <w:numFmt w:val="decimal"/>
      <w:lvlText w:val="%4."/>
      <w:lvlJc w:val="left"/>
      <w:pPr>
        <w:tabs>
          <w:tab w:val="num" w:pos="2880"/>
        </w:tabs>
        <w:ind w:left="2880" w:hanging="360"/>
      </w:pPr>
      <w:rPr>
        <w:rFonts w:cs="Times New Roman"/>
      </w:rPr>
    </w:lvl>
    <w:lvl w:ilvl="4" w:tplc="0C0A0003">
      <w:start w:val="1"/>
      <w:numFmt w:val="decimal"/>
      <w:lvlText w:val="%5."/>
      <w:lvlJc w:val="left"/>
      <w:pPr>
        <w:tabs>
          <w:tab w:val="num" w:pos="3600"/>
        </w:tabs>
        <w:ind w:left="3600" w:hanging="360"/>
      </w:pPr>
      <w:rPr>
        <w:rFonts w:cs="Times New Roman"/>
      </w:rPr>
    </w:lvl>
    <w:lvl w:ilvl="5" w:tplc="0C0A0005">
      <w:start w:val="1"/>
      <w:numFmt w:val="decimal"/>
      <w:lvlText w:val="%6."/>
      <w:lvlJc w:val="left"/>
      <w:pPr>
        <w:tabs>
          <w:tab w:val="num" w:pos="4320"/>
        </w:tabs>
        <w:ind w:left="4320" w:hanging="360"/>
      </w:pPr>
      <w:rPr>
        <w:rFonts w:cs="Times New Roman"/>
      </w:rPr>
    </w:lvl>
    <w:lvl w:ilvl="6" w:tplc="0C0A0001">
      <w:start w:val="1"/>
      <w:numFmt w:val="decimal"/>
      <w:lvlText w:val="%7."/>
      <w:lvlJc w:val="left"/>
      <w:pPr>
        <w:tabs>
          <w:tab w:val="num" w:pos="5040"/>
        </w:tabs>
        <w:ind w:left="5040" w:hanging="360"/>
      </w:pPr>
      <w:rPr>
        <w:rFonts w:cs="Times New Roman"/>
      </w:rPr>
    </w:lvl>
    <w:lvl w:ilvl="7" w:tplc="0C0A0003">
      <w:start w:val="1"/>
      <w:numFmt w:val="decimal"/>
      <w:lvlText w:val="%8."/>
      <w:lvlJc w:val="left"/>
      <w:pPr>
        <w:tabs>
          <w:tab w:val="num" w:pos="5760"/>
        </w:tabs>
        <w:ind w:left="5760" w:hanging="360"/>
      </w:pPr>
      <w:rPr>
        <w:rFonts w:cs="Times New Roman"/>
      </w:rPr>
    </w:lvl>
    <w:lvl w:ilvl="8" w:tplc="0C0A0005">
      <w:start w:val="1"/>
      <w:numFmt w:val="decimal"/>
      <w:lvlText w:val="%9."/>
      <w:lvlJc w:val="left"/>
      <w:pPr>
        <w:tabs>
          <w:tab w:val="num" w:pos="6480"/>
        </w:tabs>
        <w:ind w:left="6480" w:hanging="360"/>
      </w:pPr>
      <w:rPr>
        <w:rFonts w:cs="Times New Roman"/>
      </w:rPr>
    </w:lvl>
  </w:abstractNum>
  <w:num w:numId="1">
    <w:abstractNumId w:val="3"/>
  </w:num>
  <w:num w:numId="2">
    <w:abstractNumId w:val="4"/>
  </w:num>
  <w:num w:numId="3">
    <w:abstractNumId w:val="12"/>
  </w:num>
  <w:num w:numId="4">
    <w:abstractNumId w:val="11"/>
  </w:num>
  <w:num w:numId="5">
    <w:abstractNumId w:val="10"/>
  </w:num>
  <w:num w:numId="6">
    <w:abstractNumId w:val="2"/>
  </w:num>
  <w:num w:numId="7">
    <w:abstractNumId w:val="6"/>
  </w:num>
  <w:num w:numId="8">
    <w:abstractNumId w:val="13"/>
  </w:num>
  <w:num w:numId="9">
    <w:abstractNumId w:val="1"/>
  </w:num>
  <w:num w:numId="10">
    <w:abstractNumId w:val="8"/>
  </w:num>
  <w:num w:numId="11">
    <w:abstractNumId w:val="7"/>
  </w:num>
  <w:num w:numId="12">
    <w:abstractNumId w:val="9"/>
  </w:num>
  <w:num w:numId="13">
    <w:abstractNumId w:val="0"/>
  </w:num>
  <w:num w:numId="14">
    <w:abstractNumId w:val="14"/>
  </w:num>
  <w:num w:numId="15">
    <w:abstractNumId w:val="5"/>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removePersonalInformation/>
  <w:removeDateAndTime/>
  <w:hideSpellingErrors/>
  <w:hideGrammaticalErrors/>
  <w:defaultTabStop w:val="708"/>
  <w:hyphenationZone w:val="425"/>
  <w:characterSpacingControl w:val="doNotCompress"/>
  <w:hdrShapeDefaults>
    <o:shapedefaults v:ext="edit" spidmax="43009"/>
  </w:hdrShapeDefaults>
  <w:footnotePr>
    <w:footnote w:id="-1"/>
    <w:footnote w:id="0"/>
  </w:footnotePr>
  <w:endnotePr>
    <w:endnote w:id="-1"/>
    <w:endnote w:id="0"/>
  </w:endnotePr>
  <w:compat/>
  <w:rsids>
    <w:rsidRoot w:val="001D037C"/>
    <w:rsid w:val="00000AA6"/>
    <w:rsid w:val="000111EE"/>
    <w:rsid w:val="000144E0"/>
    <w:rsid w:val="0002147B"/>
    <w:rsid w:val="00024E2D"/>
    <w:rsid w:val="00030844"/>
    <w:rsid w:val="000322F5"/>
    <w:rsid w:val="0004383F"/>
    <w:rsid w:val="00044DF7"/>
    <w:rsid w:val="00081F85"/>
    <w:rsid w:val="000977C8"/>
    <w:rsid w:val="000E6FD8"/>
    <w:rsid w:val="0010081F"/>
    <w:rsid w:val="001103F9"/>
    <w:rsid w:val="00112797"/>
    <w:rsid w:val="001127F1"/>
    <w:rsid w:val="00120342"/>
    <w:rsid w:val="00134D73"/>
    <w:rsid w:val="0018125A"/>
    <w:rsid w:val="001838B1"/>
    <w:rsid w:val="00184D46"/>
    <w:rsid w:val="001853F8"/>
    <w:rsid w:val="00185FE4"/>
    <w:rsid w:val="001A0253"/>
    <w:rsid w:val="001C63F2"/>
    <w:rsid w:val="001C747F"/>
    <w:rsid w:val="001D037C"/>
    <w:rsid w:val="001D2C58"/>
    <w:rsid w:val="001D7BD7"/>
    <w:rsid w:val="002059B7"/>
    <w:rsid w:val="00216695"/>
    <w:rsid w:val="00224954"/>
    <w:rsid w:val="00235905"/>
    <w:rsid w:val="0025473C"/>
    <w:rsid w:val="0026437C"/>
    <w:rsid w:val="00265165"/>
    <w:rsid w:val="00276FDB"/>
    <w:rsid w:val="00277762"/>
    <w:rsid w:val="002909CA"/>
    <w:rsid w:val="00297298"/>
    <w:rsid w:val="002A4637"/>
    <w:rsid w:val="002B6CDF"/>
    <w:rsid w:val="002D3467"/>
    <w:rsid w:val="002D3561"/>
    <w:rsid w:val="002E1248"/>
    <w:rsid w:val="002E366F"/>
    <w:rsid w:val="002E3C29"/>
    <w:rsid w:val="002E5E34"/>
    <w:rsid w:val="002F67E7"/>
    <w:rsid w:val="00331275"/>
    <w:rsid w:val="00335B5F"/>
    <w:rsid w:val="003429D5"/>
    <w:rsid w:val="0035014B"/>
    <w:rsid w:val="0039158A"/>
    <w:rsid w:val="0039498E"/>
    <w:rsid w:val="003953CA"/>
    <w:rsid w:val="003F1D3E"/>
    <w:rsid w:val="003F277B"/>
    <w:rsid w:val="003F43B0"/>
    <w:rsid w:val="003F52BF"/>
    <w:rsid w:val="004020EF"/>
    <w:rsid w:val="004026DD"/>
    <w:rsid w:val="004249E5"/>
    <w:rsid w:val="00424D21"/>
    <w:rsid w:val="004372E7"/>
    <w:rsid w:val="00444984"/>
    <w:rsid w:val="00460B97"/>
    <w:rsid w:val="00495563"/>
    <w:rsid w:val="004B4151"/>
    <w:rsid w:val="004B757F"/>
    <w:rsid w:val="004D1E88"/>
    <w:rsid w:val="00506A94"/>
    <w:rsid w:val="00511A5E"/>
    <w:rsid w:val="005276F6"/>
    <w:rsid w:val="00527934"/>
    <w:rsid w:val="005B058E"/>
    <w:rsid w:val="005B71F7"/>
    <w:rsid w:val="005C0907"/>
    <w:rsid w:val="00600C49"/>
    <w:rsid w:val="00625AFA"/>
    <w:rsid w:val="006332AF"/>
    <w:rsid w:val="0065136F"/>
    <w:rsid w:val="00660838"/>
    <w:rsid w:val="00675058"/>
    <w:rsid w:val="006759D6"/>
    <w:rsid w:val="00682B5F"/>
    <w:rsid w:val="00686469"/>
    <w:rsid w:val="006A35D8"/>
    <w:rsid w:val="006A3909"/>
    <w:rsid w:val="006B5DAA"/>
    <w:rsid w:val="006C35BA"/>
    <w:rsid w:val="006D4B0E"/>
    <w:rsid w:val="006E1563"/>
    <w:rsid w:val="00741D2E"/>
    <w:rsid w:val="0074756B"/>
    <w:rsid w:val="00763821"/>
    <w:rsid w:val="00770032"/>
    <w:rsid w:val="007765B4"/>
    <w:rsid w:val="007A3BA5"/>
    <w:rsid w:val="007B603E"/>
    <w:rsid w:val="007B622D"/>
    <w:rsid w:val="007B76C4"/>
    <w:rsid w:val="007C5FA9"/>
    <w:rsid w:val="007E0631"/>
    <w:rsid w:val="007F0BDB"/>
    <w:rsid w:val="007F0C1E"/>
    <w:rsid w:val="007F62B8"/>
    <w:rsid w:val="0080422D"/>
    <w:rsid w:val="00822644"/>
    <w:rsid w:val="0082341C"/>
    <w:rsid w:val="0083462B"/>
    <w:rsid w:val="0085069C"/>
    <w:rsid w:val="00870DCB"/>
    <w:rsid w:val="008C3AD4"/>
    <w:rsid w:val="008C7211"/>
    <w:rsid w:val="008D2E18"/>
    <w:rsid w:val="008E1F63"/>
    <w:rsid w:val="008E20B9"/>
    <w:rsid w:val="00900D0C"/>
    <w:rsid w:val="00930434"/>
    <w:rsid w:val="00953987"/>
    <w:rsid w:val="009659F9"/>
    <w:rsid w:val="00973ECD"/>
    <w:rsid w:val="00976C89"/>
    <w:rsid w:val="00982605"/>
    <w:rsid w:val="00991101"/>
    <w:rsid w:val="009A4D4E"/>
    <w:rsid w:val="009B5396"/>
    <w:rsid w:val="009F7497"/>
    <w:rsid w:val="00A02AD5"/>
    <w:rsid w:val="00A16DE2"/>
    <w:rsid w:val="00A31022"/>
    <w:rsid w:val="00A45DBD"/>
    <w:rsid w:val="00A654E5"/>
    <w:rsid w:val="00A85AE7"/>
    <w:rsid w:val="00AA3F4C"/>
    <w:rsid w:val="00AA4154"/>
    <w:rsid w:val="00AD45CA"/>
    <w:rsid w:val="00AD737D"/>
    <w:rsid w:val="00B00F78"/>
    <w:rsid w:val="00B52633"/>
    <w:rsid w:val="00B538E9"/>
    <w:rsid w:val="00B6524E"/>
    <w:rsid w:val="00B677F1"/>
    <w:rsid w:val="00B70D5F"/>
    <w:rsid w:val="00B86D13"/>
    <w:rsid w:val="00B9004C"/>
    <w:rsid w:val="00BA15A5"/>
    <w:rsid w:val="00BC426E"/>
    <w:rsid w:val="00BC49DA"/>
    <w:rsid w:val="00BC5AFF"/>
    <w:rsid w:val="00BD0002"/>
    <w:rsid w:val="00BD3927"/>
    <w:rsid w:val="00C057B1"/>
    <w:rsid w:val="00C101A6"/>
    <w:rsid w:val="00C261BA"/>
    <w:rsid w:val="00C275AD"/>
    <w:rsid w:val="00C52E86"/>
    <w:rsid w:val="00C54D29"/>
    <w:rsid w:val="00C63707"/>
    <w:rsid w:val="00C83A97"/>
    <w:rsid w:val="00C9656D"/>
    <w:rsid w:val="00CA5D0E"/>
    <w:rsid w:val="00CF0576"/>
    <w:rsid w:val="00D01B75"/>
    <w:rsid w:val="00D16F90"/>
    <w:rsid w:val="00D401EE"/>
    <w:rsid w:val="00D46215"/>
    <w:rsid w:val="00D53DBE"/>
    <w:rsid w:val="00D562A4"/>
    <w:rsid w:val="00D57B0C"/>
    <w:rsid w:val="00D66ABB"/>
    <w:rsid w:val="00D66F22"/>
    <w:rsid w:val="00D71CF9"/>
    <w:rsid w:val="00D80D14"/>
    <w:rsid w:val="00D876F9"/>
    <w:rsid w:val="00D8780D"/>
    <w:rsid w:val="00D9088A"/>
    <w:rsid w:val="00D9253D"/>
    <w:rsid w:val="00DC7678"/>
    <w:rsid w:val="00DE1C65"/>
    <w:rsid w:val="00DF4F41"/>
    <w:rsid w:val="00E05833"/>
    <w:rsid w:val="00E05893"/>
    <w:rsid w:val="00E3271B"/>
    <w:rsid w:val="00E41779"/>
    <w:rsid w:val="00E46E70"/>
    <w:rsid w:val="00E56501"/>
    <w:rsid w:val="00E67527"/>
    <w:rsid w:val="00E7599C"/>
    <w:rsid w:val="00E82FE1"/>
    <w:rsid w:val="00EB72B7"/>
    <w:rsid w:val="00EC00AA"/>
    <w:rsid w:val="00EC2CFC"/>
    <w:rsid w:val="00EC2E9E"/>
    <w:rsid w:val="00ED32FF"/>
    <w:rsid w:val="00F00369"/>
    <w:rsid w:val="00F04C2B"/>
    <w:rsid w:val="00F14997"/>
    <w:rsid w:val="00F27CC4"/>
    <w:rsid w:val="00F3315B"/>
    <w:rsid w:val="00F3772B"/>
    <w:rsid w:val="00F63F4C"/>
    <w:rsid w:val="00F64609"/>
    <w:rsid w:val="00F70B21"/>
    <w:rsid w:val="00F70BE9"/>
    <w:rsid w:val="00F7159E"/>
    <w:rsid w:val="00F747F0"/>
    <w:rsid w:val="00F75422"/>
    <w:rsid w:val="00F86E68"/>
    <w:rsid w:val="00FC3789"/>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45CA"/>
    <w:pPr>
      <w:spacing w:after="120"/>
    </w:pPr>
    <w:rPr>
      <w:rFonts w:ascii="Calibri" w:eastAsia="Times New Roman" w:hAnsi="Calibri" w:cs="Times New Roman"/>
      <w:sz w:val="20"/>
    </w:rPr>
  </w:style>
  <w:style w:type="paragraph" w:styleId="Ttulo1">
    <w:name w:val="heading 1"/>
    <w:basedOn w:val="Normal"/>
    <w:next w:val="Normal"/>
    <w:link w:val="Ttulo1Car"/>
    <w:uiPriority w:val="9"/>
    <w:qFormat/>
    <w:rsid w:val="00B9004C"/>
    <w:pPr>
      <w:keepNext/>
      <w:keepLines/>
      <w:pBdr>
        <w:top w:val="single" w:sz="2" w:space="1" w:color="4F81BD"/>
        <w:left w:val="single" w:sz="2" w:space="4" w:color="4F81BD"/>
        <w:bottom w:val="single" w:sz="2" w:space="1" w:color="4F81BD"/>
        <w:right w:val="single" w:sz="2" w:space="4" w:color="4F81BD"/>
      </w:pBdr>
      <w:shd w:val="clear" w:color="auto" w:fill="548DD4" w:themeFill="text2" w:themeFillTint="99"/>
      <w:spacing w:before="480" w:line="360" w:lineRule="auto"/>
      <w:jc w:val="left"/>
      <w:outlineLvl w:val="0"/>
    </w:pPr>
    <w:rPr>
      <w:rFonts w:eastAsiaTheme="majorEastAsia" w:cstheme="majorBidi"/>
      <w:b/>
      <w:bCs/>
      <w:caps/>
      <w:color w:val="FFFFFF" w:themeColor="background1"/>
      <w:sz w:val="22"/>
    </w:rPr>
  </w:style>
  <w:style w:type="paragraph" w:styleId="Ttulo2">
    <w:name w:val="heading 2"/>
    <w:basedOn w:val="Normal"/>
    <w:next w:val="Normal"/>
    <w:link w:val="Ttulo2Car"/>
    <w:uiPriority w:val="9"/>
    <w:unhideWhenUsed/>
    <w:qFormat/>
    <w:rsid w:val="00B9004C"/>
    <w:pPr>
      <w:keepNext/>
      <w:pBdr>
        <w:top w:val="single" w:sz="24" w:space="0" w:color="DBE5F1"/>
        <w:left w:val="single" w:sz="24" w:space="0" w:color="DBE5F1"/>
        <w:bottom w:val="single" w:sz="24" w:space="0" w:color="DBE5F1"/>
        <w:right w:val="single" w:sz="24" w:space="0" w:color="DBE5F1"/>
      </w:pBdr>
      <w:shd w:val="clear" w:color="auto" w:fill="DBE5F1"/>
      <w:spacing w:before="360" w:line="276" w:lineRule="auto"/>
      <w:jc w:val="left"/>
      <w:outlineLvl w:val="1"/>
    </w:pPr>
    <w:rPr>
      <w:rFonts w:cs="Calibri"/>
      <w:caps/>
      <w:spacing w:val="15"/>
      <w:sz w:val="22"/>
    </w:rPr>
  </w:style>
  <w:style w:type="paragraph" w:styleId="Ttulo3">
    <w:name w:val="heading 3"/>
    <w:basedOn w:val="Normal"/>
    <w:next w:val="Normal"/>
    <w:link w:val="Ttulo3Car"/>
    <w:uiPriority w:val="9"/>
    <w:unhideWhenUsed/>
    <w:qFormat/>
    <w:rsid w:val="004372E7"/>
    <w:pPr>
      <w:keepNext/>
      <w:keepLines/>
      <w:spacing w:before="200" w:beforeAutospacing="1" w:afterAutospacing="1" w:line="360" w:lineRule="auto"/>
      <w:jc w:val="left"/>
      <w:outlineLvl w:val="2"/>
    </w:pPr>
    <w:rPr>
      <w:rFonts w:eastAsiaTheme="majorEastAsia" w:cstheme="majorBidi"/>
      <w:b/>
      <w:bCs/>
      <w: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1D037C"/>
    <w:pPr>
      <w:ind w:left="720"/>
    </w:pPr>
    <w:rPr>
      <w:lang w:eastAsia="es-ES"/>
    </w:rPr>
  </w:style>
  <w:style w:type="character" w:styleId="Hipervnculo">
    <w:name w:val="Hyperlink"/>
    <w:basedOn w:val="Fuentedeprrafopredeter"/>
    <w:uiPriority w:val="99"/>
    <w:rsid w:val="0074756B"/>
    <w:rPr>
      <w:rFonts w:ascii="Times New Roman" w:hAnsi="Times New Roman" w:cs="Times New Roman"/>
      <w:color w:val="0000FF"/>
      <w:u w:val="single"/>
    </w:rPr>
  </w:style>
  <w:style w:type="paragraph" w:styleId="Textodeglobo">
    <w:name w:val="Balloon Text"/>
    <w:basedOn w:val="Normal"/>
    <w:link w:val="TextodegloboCar"/>
    <w:uiPriority w:val="99"/>
    <w:semiHidden/>
    <w:unhideWhenUsed/>
    <w:rsid w:val="002F67E7"/>
    <w:rPr>
      <w:rFonts w:ascii="Tahoma" w:hAnsi="Tahoma" w:cs="Tahoma"/>
      <w:sz w:val="16"/>
      <w:szCs w:val="16"/>
    </w:rPr>
  </w:style>
  <w:style w:type="character" w:customStyle="1" w:styleId="TextodegloboCar">
    <w:name w:val="Texto de globo Car"/>
    <w:basedOn w:val="Fuentedeprrafopredeter"/>
    <w:link w:val="Textodeglobo"/>
    <w:uiPriority w:val="99"/>
    <w:semiHidden/>
    <w:rsid w:val="002F67E7"/>
    <w:rPr>
      <w:rFonts w:ascii="Tahoma" w:eastAsia="Times New Roman" w:hAnsi="Tahoma" w:cs="Tahoma"/>
      <w:sz w:val="16"/>
      <w:szCs w:val="16"/>
    </w:rPr>
  </w:style>
  <w:style w:type="paragraph" w:styleId="Encabezado">
    <w:name w:val="header"/>
    <w:basedOn w:val="Normal"/>
    <w:link w:val="EncabezadoCar"/>
    <w:uiPriority w:val="99"/>
    <w:semiHidden/>
    <w:unhideWhenUsed/>
    <w:rsid w:val="006A35D8"/>
    <w:pPr>
      <w:tabs>
        <w:tab w:val="center" w:pos="4252"/>
        <w:tab w:val="right" w:pos="8504"/>
      </w:tabs>
    </w:pPr>
  </w:style>
  <w:style w:type="character" w:customStyle="1" w:styleId="EncabezadoCar">
    <w:name w:val="Encabezado Car"/>
    <w:basedOn w:val="Fuentedeprrafopredeter"/>
    <w:link w:val="Encabezado"/>
    <w:uiPriority w:val="99"/>
    <w:semiHidden/>
    <w:rsid w:val="006A35D8"/>
    <w:rPr>
      <w:rFonts w:ascii="Calibri" w:eastAsia="Times New Roman" w:hAnsi="Calibri" w:cs="Times New Roman"/>
    </w:rPr>
  </w:style>
  <w:style w:type="paragraph" w:styleId="Piedepgina">
    <w:name w:val="footer"/>
    <w:basedOn w:val="Normal"/>
    <w:link w:val="PiedepginaCar"/>
    <w:uiPriority w:val="99"/>
    <w:unhideWhenUsed/>
    <w:rsid w:val="006A35D8"/>
    <w:pPr>
      <w:tabs>
        <w:tab w:val="center" w:pos="4252"/>
        <w:tab w:val="right" w:pos="8504"/>
      </w:tabs>
    </w:pPr>
  </w:style>
  <w:style w:type="character" w:customStyle="1" w:styleId="PiedepginaCar">
    <w:name w:val="Pie de página Car"/>
    <w:basedOn w:val="Fuentedeprrafopredeter"/>
    <w:link w:val="Piedepgina"/>
    <w:uiPriority w:val="99"/>
    <w:rsid w:val="006A35D8"/>
    <w:rPr>
      <w:rFonts w:ascii="Calibri" w:eastAsia="Times New Roman" w:hAnsi="Calibri" w:cs="Times New Roman"/>
    </w:rPr>
  </w:style>
  <w:style w:type="character" w:customStyle="1" w:styleId="Ttulo3Car">
    <w:name w:val="Título 3 Car"/>
    <w:basedOn w:val="Fuentedeprrafopredeter"/>
    <w:link w:val="Ttulo3"/>
    <w:uiPriority w:val="9"/>
    <w:rsid w:val="004372E7"/>
    <w:rPr>
      <w:rFonts w:ascii="Calibri" w:eastAsiaTheme="majorEastAsia" w:hAnsi="Calibri" w:cstheme="majorBidi"/>
      <w:b/>
      <w:bCs/>
      <w:i/>
      <w:sz w:val="20"/>
    </w:rPr>
  </w:style>
  <w:style w:type="paragraph" w:styleId="Sinespaciado">
    <w:name w:val="No Spacing"/>
    <w:aliases w:val="Viñetas"/>
    <w:uiPriority w:val="1"/>
    <w:qFormat/>
    <w:rsid w:val="008C7211"/>
    <w:pPr>
      <w:numPr>
        <w:numId w:val="1"/>
      </w:numPr>
      <w:spacing w:after="120"/>
    </w:pPr>
    <w:rPr>
      <w:rFonts w:ascii="Calibri" w:eastAsia="Times New Roman" w:hAnsi="Calibri" w:cs="Times New Roman"/>
      <w:sz w:val="20"/>
    </w:rPr>
  </w:style>
  <w:style w:type="character" w:customStyle="1" w:styleId="Ttulo1Car">
    <w:name w:val="Título 1 Car"/>
    <w:basedOn w:val="Fuentedeprrafopredeter"/>
    <w:link w:val="Ttulo1"/>
    <w:uiPriority w:val="9"/>
    <w:rsid w:val="00B9004C"/>
    <w:rPr>
      <w:rFonts w:ascii="Calibri" w:eastAsiaTheme="majorEastAsia" w:hAnsi="Calibri" w:cstheme="majorBidi"/>
      <w:b/>
      <w:bCs/>
      <w:caps/>
      <w:color w:val="FFFFFF" w:themeColor="background1"/>
      <w:shd w:val="clear" w:color="auto" w:fill="548DD4" w:themeFill="text2" w:themeFillTint="99"/>
    </w:rPr>
  </w:style>
  <w:style w:type="character" w:customStyle="1" w:styleId="Ttulo2Car">
    <w:name w:val="Título 2 Car"/>
    <w:basedOn w:val="Fuentedeprrafopredeter"/>
    <w:link w:val="Ttulo2"/>
    <w:uiPriority w:val="9"/>
    <w:rsid w:val="00B9004C"/>
    <w:rPr>
      <w:rFonts w:ascii="Calibri" w:eastAsia="Times New Roman" w:hAnsi="Calibri" w:cs="Calibri"/>
      <w:caps/>
      <w:spacing w:val="15"/>
      <w:shd w:val="clear" w:color="auto" w:fill="DBE5F1"/>
    </w:rPr>
  </w:style>
  <w:style w:type="character" w:styleId="Nmerodepgina">
    <w:name w:val="page number"/>
    <w:basedOn w:val="Fuentedeprrafopredeter"/>
    <w:rsid w:val="00CF0576"/>
  </w:style>
  <w:style w:type="paragraph" w:styleId="Textonotapie">
    <w:name w:val="footnote text"/>
    <w:basedOn w:val="Normal"/>
    <w:link w:val="TextonotapieCar"/>
    <w:semiHidden/>
    <w:rsid w:val="00F747F0"/>
    <w:rPr>
      <w:rFonts w:ascii="Arial" w:hAnsi="Arial"/>
      <w:szCs w:val="20"/>
      <w:lang w:eastAsia="es-ES"/>
    </w:rPr>
  </w:style>
  <w:style w:type="character" w:customStyle="1" w:styleId="TextonotapieCar">
    <w:name w:val="Texto nota pie Car"/>
    <w:basedOn w:val="Fuentedeprrafopredeter"/>
    <w:link w:val="Textonotapie"/>
    <w:semiHidden/>
    <w:rsid w:val="00F747F0"/>
    <w:rPr>
      <w:rFonts w:ascii="Arial" w:eastAsia="Times New Roman" w:hAnsi="Arial" w:cs="Times New Roman"/>
      <w:sz w:val="20"/>
      <w:szCs w:val="20"/>
      <w:lang w:eastAsia="es-ES"/>
    </w:rPr>
  </w:style>
  <w:style w:type="character" w:styleId="Refdenotaalpie">
    <w:name w:val="footnote reference"/>
    <w:basedOn w:val="Fuentedeprrafopredeter"/>
    <w:semiHidden/>
    <w:rsid w:val="00F747F0"/>
    <w:rPr>
      <w:vertAlign w:val="superscript"/>
    </w:rPr>
  </w:style>
  <w:style w:type="paragraph" w:customStyle="1" w:styleId="Default">
    <w:name w:val="Default"/>
    <w:rsid w:val="00E05893"/>
    <w:pPr>
      <w:autoSpaceDE w:val="0"/>
      <w:autoSpaceDN w:val="0"/>
      <w:adjustRightInd w:val="0"/>
      <w:jc w:val="left"/>
    </w:pPr>
    <w:rPr>
      <w:rFonts w:ascii="Arial" w:hAnsi="Arial" w:cs="Arial"/>
      <w:color w:val="000000"/>
      <w:sz w:val="24"/>
      <w:szCs w:val="24"/>
    </w:rPr>
  </w:style>
  <w:style w:type="character" w:styleId="Hipervnculovisitado">
    <w:name w:val="FollowedHyperlink"/>
    <w:basedOn w:val="Fuentedeprrafopredeter"/>
    <w:uiPriority w:val="99"/>
    <w:semiHidden/>
    <w:unhideWhenUsed/>
    <w:rsid w:val="00CA5D0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88724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nergy.senate.gov/public/index.cfm/2012/3/clean-energy-standard-act-of-2012" TargetMode="External"/><Relationship Id="rId13" Type="http://schemas.openxmlformats.org/officeDocument/2006/relationships/hyperlink" Target="http://pjm.com/documents/reports/state-of-market-reports.aspx"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jm.com/documents/reports/rtep-repor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erc.com/files/2012GMD.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treasury.gov/initiatives/recovery/Documents/Status%20overview.pdf"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www.decc.gov.uk/en/content/cms/statistics/fuelpov_stats/fuelpov_stats.aspx" TargetMode="External"/><Relationship Id="rId14" Type="http://schemas.openxmlformats.org/officeDocument/2006/relationships/hyperlink" Target="http://publications.jrc.ec.europa.eu/repository/bitstream/111111111/23076/1/reqno_jrc67752_final%20report%20.pdf"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93B298-EE4E-44C2-BE75-79EEDEF153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6441</Words>
  <Characters>33366</Characters>
  <Application>Microsoft Office Word</Application>
  <DocSecurity>0</DocSecurity>
  <Lines>498</Lines>
  <Paragraphs>187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39620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2012-05-22T09:09:00Z</dcterms:created>
  <dcterms:modified xsi:type="dcterms:W3CDTF">2012-05-22T09:09:00Z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_AdHocReviewCycleID">
    <vt:i4>938825551</vt:i4>
  </property>
  <property fmtid="{D5CDD505-2E9C-101B-9397-08002B2CF9AE}" pid="4" name="_NewReviewCycle">
    <vt:lpwstr/>
  </property>
</Properties>
</file>