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B8" w:rsidRPr="00EF613B" w:rsidRDefault="005A5EB8">
      <w:pPr>
        <w:pStyle w:val="Ttulo2"/>
        <w:keepNext w:val="0"/>
        <w:pBdr>
          <w:top w:val="single" w:sz="4" w:space="1" w:color="008000" w:shadow="1"/>
          <w:left w:val="single" w:sz="4" w:space="4" w:color="008000" w:shadow="1"/>
          <w:bottom w:val="single" w:sz="4" w:space="1" w:color="008000" w:shadow="1"/>
          <w:right w:val="single" w:sz="4" w:space="4" w:color="008000" w:shadow="1"/>
        </w:pBdr>
        <w:shd w:val="clear" w:color="auto" w:fill="FFCC66"/>
        <w:rPr>
          <w:rFonts w:cs="Calibri"/>
        </w:rPr>
      </w:pPr>
      <w:r w:rsidRPr="00EF613B">
        <w:rPr>
          <w:rFonts w:cs="Calibri"/>
        </w:rPr>
        <w:t>Boletín de Energía y Sociedad</w:t>
      </w:r>
    </w:p>
    <w:p w:rsidR="005A5EB8" w:rsidRPr="00EF613B" w:rsidRDefault="0036135B">
      <w:pPr>
        <w:spacing w:before="360"/>
        <w:jc w:val="center"/>
        <w:rPr>
          <w:rFonts w:ascii="Calibri" w:hAnsi="Calibri" w:cs="Calibri"/>
          <w:b/>
          <w:bCs/>
          <w:sz w:val="32"/>
          <w:szCs w:val="32"/>
          <w:lang w:val="es-ES"/>
        </w:rPr>
      </w:pPr>
      <w:r>
        <w:rPr>
          <w:rFonts w:ascii="Calibri" w:hAnsi="Calibri" w:cs="Calibri"/>
          <w:b/>
          <w:bCs/>
          <w:sz w:val="32"/>
          <w:szCs w:val="32"/>
          <w:lang w:val="es-ES"/>
        </w:rPr>
        <w:t>Número 77, 31</w:t>
      </w:r>
      <w:r w:rsidR="005A5EB8" w:rsidRPr="00EF613B">
        <w:rPr>
          <w:rFonts w:ascii="Calibri" w:hAnsi="Calibri" w:cs="Calibri"/>
          <w:b/>
          <w:bCs/>
          <w:sz w:val="32"/>
          <w:szCs w:val="32"/>
          <w:lang w:val="es-ES"/>
        </w:rPr>
        <w:t xml:space="preserve"> de julio de 2012</w:t>
      </w:r>
    </w:p>
    <w:p w:rsidR="005A5EB8" w:rsidRPr="00EF613B" w:rsidRDefault="001C6375">
      <w:pPr>
        <w:spacing w:after="360"/>
        <w:jc w:val="center"/>
        <w:rPr>
          <w:rFonts w:ascii="Calibri" w:hAnsi="Calibri" w:cs="Calibri"/>
          <w:b/>
          <w:bCs/>
          <w:color w:val="0000FF"/>
          <w:sz w:val="32"/>
          <w:szCs w:val="32"/>
          <w:lang w:val="es-ES"/>
        </w:rPr>
      </w:pPr>
      <w:hyperlink r:id="rId8" w:history="1">
        <w:r w:rsidR="005A5EB8" w:rsidRPr="00EF613B">
          <w:rPr>
            <w:rStyle w:val="Hipervnculo"/>
            <w:rFonts w:ascii="Calibri" w:hAnsi="Calibri" w:cs="Calibri"/>
            <w:b/>
            <w:bCs/>
            <w:sz w:val="32"/>
            <w:szCs w:val="32"/>
            <w:lang w:val="es-ES"/>
          </w:rPr>
          <w:t>www.energiaysociedad.es</w:t>
        </w:r>
      </w:hyperlink>
    </w:p>
    <w:tbl>
      <w:tblPr>
        <w:tblW w:w="9993" w:type="dxa"/>
        <w:tblCellMar>
          <w:left w:w="70" w:type="dxa"/>
          <w:right w:w="70" w:type="dxa"/>
        </w:tblCellMar>
        <w:tblLook w:val="0000"/>
      </w:tblPr>
      <w:tblGrid>
        <w:gridCol w:w="610"/>
        <w:gridCol w:w="8322"/>
        <w:gridCol w:w="1061"/>
      </w:tblGrid>
      <w:tr w:rsidR="005A5EB8" w:rsidRPr="00EF613B">
        <w:trPr>
          <w:cantSplit/>
        </w:trPr>
        <w:tc>
          <w:tcPr>
            <w:tcW w:w="9993" w:type="dxa"/>
            <w:gridSpan w:val="3"/>
            <w:tcBorders>
              <w:top w:val="single" w:sz="18" w:space="0" w:color="FFCC66"/>
              <w:left w:val="nil"/>
              <w:bottom w:val="nil"/>
              <w:right w:val="nil"/>
            </w:tcBorders>
          </w:tcPr>
          <w:p w:rsidR="005A5EB8" w:rsidRPr="00EF613B" w:rsidRDefault="005A5EB8">
            <w:pPr>
              <w:spacing w:before="30" w:after="30"/>
              <w:jc w:val="center"/>
              <w:rPr>
                <w:rFonts w:ascii="Calibri" w:hAnsi="Calibri" w:cs="Calibri"/>
                <w:b/>
                <w:bCs/>
                <w:sz w:val="26"/>
                <w:szCs w:val="26"/>
                <w:lang w:val="es-ES"/>
              </w:rPr>
            </w:pPr>
            <w:r w:rsidRPr="00EF613B">
              <w:rPr>
                <w:rFonts w:ascii="Calibri" w:hAnsi="Calibri" w:cs="Calibri"/>
                <w:b/>
                <w:bCs/>
                <w:sz w:val="26"/>
                <w:szCs w:val="26"/>
                <w:lang w:val="es-ES"/>
              </w:rPr>
              <w:t>CONTENIDO</w:t>
            </w:r>
          </w:p>
        </w:tc>
      </w:tr>
      <w:tr w:rsidR="005A5EB8" w:rsidRPr="00EF613B" w:rsidTr="00CE0A6A">
        <w:trPr>
          <w:cantSplit/>
        </w:trPr>
        <w:tc>
          <w:tcPr>
            <w:tcW w:w="8932" w:type="dxa"/>
            <w:gridSpan w:val="2"/>
            <w:tcBorders>
              <w:top w:val="nil"/>
              <w:left w:val="nil"/>
              <w:bottom w:val="nil"/>
              <w:right w:val="nil"/>
            </w:tcBorders>
          </w:tcPr>
          <w:p w:rsidR="005A5EB8" w:rsidRPr="00EF613B" w:rsidRDefault="001C6375">
            <w:pPr>
              <w:spacing w:before="26" w:after="26"/>
              <w:rPr>
                <w:rFonts w:ascii="Calibri" w:hAnsi="Calibri" w:cs="Calibri"/>
                <w:b/>
                <w:bCs/>
                <w:sz w:val="26"/>
                <w:szCs w:val="26"/>
                <w:lang w:val="es-ES"/>
              </w:rPr>
            </w:pPr>
            <w:hyperlink w:anchor="NOVEDADES" w:history="1">
              <w:r w:rsidR="005A5EB8" w:rsidRPr="00EF613B">
                <w:rPr>
                  <w:rFonts w:ascii="Calibri" w:hAnsi="Calibri" w:cs="Calibri"/>
                  <w:b/>
                  <w:bCs/>
                  <w:sz w:val="26"/>
                  <w:szCs w:val="26"/>
                  <w:lang w:val="es-ES"/>
                </w:rPr>
                <w:t>Novedades en el sector</w:t>
              </w:r>
            </w:hyperlink>
          </w:p>
        </w:tc>
        <w:tc>
          <w:tcPr>
            <w:tcW w:w="1061" w:type="dxa"/>
            <w:tcBorders>
              <w:top w:val="nil"/>
              <w:left w:val="nil"/>
              <w:bottom w:val="nil"/>
              <w:right w:val="nil"/>
            </w:tcBorders>
          </w:tcPr>
          <w:p w:rsidR="005A5EB8" w:rsidRPr="00EF613B" w:rsidRDefault="005A5EB8">
            <w:pPr>
              <w:spacing w:before="26" w:after="26"/>
              <w:jc w:val="center"/>
              <w:rPr>
                <w:rFonts w:ascii="Calibri" w:hAnsi="Calibri" w:cs="Calibri"/>
                <w:b/>
                <w:bCs/>
                <w:sz w:val="26"/>
                <w:szCs w:val="26"/>
                <w:lang w:val="es-ES"/>
              </w:rPr>
            </w:pPr>
            <w:r w:rsidRPr="00EF613B">
              <w:rPr>
                <w:rFonts w:ascii="Calibri" w:hAnsi="Calibri" w:cs="Calibri"/>
                <w:b/>
                <w:bCs/>
                <w:sz w:val="26"/>
                <w:szCs w:val="26"/>
                <w:lang w:val="es-ES"/>
              </w:rPr>
              <w:t>p. 2</w:t>
            </w:r>
          </w:p>
        </w:tc>
      </w:tr>
      <w:tr w:rsidR="005A5EB8" w:rsidRPr="00EF613B" w:rsidTr="00CE0A6A">
        <w:tc>
          <w:tcPr>
            <w:tcW w:w="610" w:type="dxa"/>
            <w:tcBorders>
              <w:top w:val="nil"/>
              <w:left w:val="nil"/>
              <w:bottom w:val="nil"/>
              <w:right w:val="nil"/>
            </w:tcBorders>
          </w:tcPr>
          <w:p w:rsidR="005A5EB8" w:rsidRPr="00EF613B" w:rsidRDefault="005A5EB8">
            <w:pPr>
              <w:spacing w:before="26" w:after="26"/>
              <w:jc w:val="both"/>
              <w:rPr>
                <w:rFonts w:ascii="Calibri" w:hAnsi="Calibri" w:cs="Calibri"/>
                <w:lang w:val="es-ES"/>
              </w:rPr>
            </w:pPr>
          </w:p>
        </w:tc>
        <w:tc>
          <w:tcPr>
            <w:tcW w:w="8322" w:type="dxa"/>
            <w:tcBorders>
              <w:top w:val="nil"/>
              <w:left w:val="nil"/>
              <w:bottom w:val="nil"/>
              <w:right w:val="nil"/>
            </w:tcBorders>
            <w:vAlign w:val="center"/>
          </w:tcPr>
          <w:p w:rsidR="005A5EB8" w:rsidRPr="00D72EAF" w:rsidRDefault="001C6375" w:rsidP="005359DB">
            <w:pPr>
              <w:spacing w:before="26" w:after="26"/>
              <w:jc w:val="both"/>
              <w:rPr>
                <w:rStyle w:val="Hipervnculo"/>
                <w:rFonts w:ascii="Calibri" w:hAnsi="Calibri" w:cs="Calibri"/>
                <w:color w:val="auto"/>
                <w:u w:val="none"/>
              </w:rPr>
            </w:pPr>
            <w:hyperlink w:anchor="Contenido1" w:history="1">
              <w:r w:rsidR="0036135B" w:rsidRPr="00D72EAF">
                <w:rPr>
                  <w:rStyle w:val="Hipervnculo"/>
                  <w:rFonts w:ascii="Calibri" w:hAnsi="Calibri" w:cs="Calibri"/>
                  <w:color w:val="auto"/>
                  <w:u w:val="none"/>
                </w:rPr>
                <w:t>Real Decreto-ley 20/2012, de medidas para garantizar la estabilidad presupuestaria y de fomento de la competitividad, entre las que</w:t>
              </w:r>
              <w:r w:rsidR="0036135B" w:rsidRPr="00D72EAF">
                <w:rPr>
                  <w:rStyle w:val="Hipervnculo"/>
                  <w:rFonts w:ascii="Calibri" w:hAnsi="Calibri" w:cs="Calibri"/>
                  <w:color w:val="auto"/>
                  <w:u w:val="none"/>
                </w:rPr>
                <w:t xml:space="preserve"> </w:t>
              </w:r>
              <w:r w:rsidR="0036135B" w:rsidRPr="00D72EAF">
                <w:rPr>
                  <w:rStyle w:val="Hipervnculo"/>
                  <w:rFonts w:ascii="Calibri" w:hAnsi="Calibri" w:cs="Calibri"/>
                  <w:color w:val="auto"/>
                  <w:u w:val="none"/>
                </w:rPr>
                <w:t>se incluyen una nueva serie de medidas para contener el déficit de tarifa</w:t>
              </w:r>
            </w:hyperlink>
          </w:p>
        </w:tc>
        <w:tc>
          <w:tcPr>
            <w:tcW w:w="1061" w:type="dxa"/>
            <w:tcBorders>
              <w:top w:val="nil"/>
              <w:left w:val="nil"/>
              <w:bottom w:val="nil"/>
              <w:right w:val="nil"/>
            </w:tcBorders>
            <w:vAlign w:val="center"/>
          </w:tcPr>
          <w:p w:rsidR="005A5EB8" w:rsidRPr="00EF613B" w:rsidRDefault="005A5EB8">
            <w:pPr>
              <w:spacing w:before="26" w:after="26"/>
              <w:jc w:val="center"/>
              <w:rPr>
                <w:rFonts w:ascii="Calibri" w:hAnsi="Calibri" w:cs="Calibri"/>
                <w:lang w:val="es-ES"/>
              </w:rPr>
            </w:pPr>
            <w:r w:rsidRPr="00EF613B">
              <w:rPr>
                <w:rFonts w:ascii="Calibri" w:hAnsi="Calibri" w:cs="Calibri"/>
                <w:lang w:val="es-ES"/>
              </w:rPr>
              <w:t xml:space="preserve">p. </w:t>
            </w:r>
            <w:r w:rsidR="00A92B06">
              <w:rPr>
                <w:rFonts w:ascii="Calibri" w:hAnsi="Calibri" w:cs="Calibri"/>
                <w:lang w:val="es-ES"/>
              </w:rPr>
              <w:t>2</w:t>
            </w:r>
          </w:p>
        </w:tc>
      </w:tr>
      <w:tr w:rsidR="007A02E2" w:rsidRPr="00EF613B" w:rsidTr="00CE0A6A">
        <w:tc>
          <w:tcPr>
            <w:tcW w:w="610" w:type="dxa"/>
            <w:tcBorders>
              <w:top w:val="nil"/>
              <w:left w:val="nil"/>
              <w:bottom w:val="nil"/>
              <w:right w:val="nil"/>
            </w:tcBorders>
          </w:tcPr>
          <w:p w:rsidR="007A02E2" w:rsidRPr="00EF613B" w:rsidRDefault="007A02E2">
            <w:pPr>
              <w:spacing w:before="26" w:after="26"/>
              <w:jc w:val="both"/>
              <w:rPr>
                <w:rFonts w:ascii="Calibri" w:hAnsi="Calibri" w:cs="Calibri"/>
                <w:lang w:val="es-ES"/>
              </w:rPr>
            </w:pPr>
          </w:p>
        </w:tc>
        <w:tc>
          <w:tcPr>
            <w:tcW w:w="8322" w:type="dxa"/>
            <w:tcBorders>
              <w:top w:val="nil"/>
              <w:left w:val="nil"/>
              <w:bottom w:val="nil"/>
              <w:right w:val="nil"/>
            </w:tcBorders>
            <w:vAlign w:val="center"/>
          </w:tcPr>
          <w:p w:rsidR="007A02E2" w:rsidRPr="009215A6" w:rsidRDefault="001C6375" w:rsidP="005359DB">
            <w:pPr>
              <w:spacing w:before="26" w:after="26"/>
              <w:jc w:val="both"/>
              <w:rPr>
                <w:rStyle w:val="Hipervnculo"/>
                <w:rFonts w:ascii="Calibri" w:hAnsi="Calibri" w:cs="Calibri"/>
                <w:color w:val="auto"/>
                <w:u w:val="none"/>
              </w:rPr>
            </w:pPr>
            <w:hyperlink w:anchor="Contenido2" w:history="1">
              <w:r w:rsidR="00E300F1" w:rsidRPr="009215A6">
                <w:rPr>
                  <w:rStyle w:val="Hipervnculo"/>
                  <w:rFonts w:ascii="Calibri" w:hAnsi="Calibri" w:cs="Calibri"/>
                  <w:color w:val="auto"/>
                  <w:u w:val="none"/>
                </w:rPr>
                <w:t>Informe de ENTSO-E sobre el Plan de Desarrollo de</w:t>
              </w:r>
              <w:r w:rsidR="00E300F1" w:rsidRPr="009215A6">
                <w:rPr>
                  <w:rStyle w:val="Hipervnculo"/>
                  <w:rFonts w:ascii="Calibri" w:hAnsi="Calibri" w:cs="Calibri"/>
                  <w:color w:val="auto"/>
                  <w:u w:val="none"/>
                </w:rPr>
                <w:t xml:space="preserve"> </w:t>
              </w:r>
              <w:r w:rsidR="00E300F1" w:rsidRPr="009215A6">
                <w:rPr>
                  <w:rStyle w:val="Hipervnculo"/>
                  <w:rFonts w:ascii="Calibri" w:hAnsi="Calibri" w:cs="Calibri"/>
                  <w:color w:val="auto"/>
                  <w:u w:val="none"/>
                </w:rPr>
                <w:t>la Red a 10 años (Ten</w:t>
              </w:r>
              <w:r w:rsidR="00E300F1" w:rsidRPr="00610306">
                <w:rPr>
                  <w:rStyle w:val="Hipervnculo"/>
                  <w:rFonts w:ascii="Calibri" w:hAnsi="Calibri" w:cs="Calibri"/>
                  <w:color w:val="auto"/>
                  <w:u w:val="none"/>
                  <w:lang w:val="en-US"/>
                </w:rPr>
                <w:t xml:space="preserve"> Year</w:t>
              </w:r>
              <w:r w:rsidR="00E300F1" w:rsidRPr="009215A6">
                <w:rPr>
                  <w:rStyle w:val="Hipervnculo"/>
                  <w:rFonts w:ascii="Calibri" w:hAnsi="Calibri" w:cs="Calibri"/>
                  <w:color w:val="auto"/>
                  <w:u w:val="none"/>
                </w:rPr>
                <w:t xml:space="preserve"> Network</w:t>
              </w:r>
              <w:r w:rsidR="00E300F1" w:rsidRPr="00610306">
                <w:rPr>
                  <w:rStyle w:val="Hipervnculo"/>
                  <w:rFonts w:ascii="Calibri" w:hAnsi="Calibri" w:cs="Calibri"/>
                  <w:color w:val="auto"/>
                  <w:u w:val="none"/>
                  <w:lang w:val="en-US"/>
                </w:rPr>
                <w:t xml:space="preserve"> Development</w:t>
              </w:r>
              <w:r w:rsidR="00E300F1" w:rsidRPr="009215A6">
                <w:rPr>
                  <w:rStyle w:val="Hipervnculo"/>
                  <w:rFonts w:ascii="Calibri" w:hAnsi="Calibri" w:cs="Calibri"/>
                  <w:color w:val="auto"/>
                  <w:u w:val="none"/>
                </w:rPr>
                <w:t xml:space="preserve"> Plan 2012)</w:t>
              </w:r>
            </w:hyperlink>
          </w:p>
        </w:tc>
        <w:tc>
          <w:tcPr>
            <w:tcW w:w="1061" w:type="dxa"/>
            <w:tcBorders>
              <w:top w:val="nil"/>
              <w:left w:val="nil"/>
              <w:bottom w:val="nil"/>
              <w:right w:val="nil"/>
            </w:tcBorders>
            <w:vAlign w:val="center"/>
          </w:tcPr>
          <w:p w:rsidR="007A02E2" w:rsidRPr="00EF613B" w:rsidRDefault="009215A6">
            <w:pPr>
              <w:spacing w:before="26" w:after="26"/>
              <w:jc w:val="center"/>
              <w:rPr>
                <w:rFonts w:ascii="Calibri" w:hAnsi="Calibri" w:cs="Calibri"/>
                <w:lang w:val="es-ES"/>
              </w:rPr>
            </w:pPr>
            <w:r>
              <w:rPr>
                <w:rFonts w:ascii="Calibri" w:hAnsi="Calibri" w:cs="Calibri"/>
                <w:lang w:val="es-ES"/>
              </w:rPr>
              <w:t>p. 5</w:t>
            </w:r>
          </w:p>
        </w:tc>
      </w:tr>
      <w:tr w:rsidR="005A5EB8" w:rsidRPr="00EF613B" w:rsidTr="00E92FE6">
        <w:tc>
          <w:tcPr>
            <w:tcW w:w="8932" w:type="dxa"/>
            <w:gridSpan w:val="2"/>
            <w:tcBorders>
              <w:top w:val="nil"/>
              <w:left w:val="nil"/>
              <w:bottom w:val="nil"/>
              <w:right w:val="nil"/>
            </w:tcBorders>
          </w:tcPr>
          <w:p w:rsidR="005A5EB8" w:rsidRPr="00D72140" w:rsidRDefault="001C6375" w:rsidP="00E92FE6">
            <w:pPr>
              <w:spacing w:before="26" w:after="26"/>
              <w:rPr>
                <w:rFonts w:asciiTheme="minorHAnsi" w:hAnsiTheme="minorHAnsi" w:cs="Calibri"/>
                <w:b/>
                <w:bCs/>
                <w:sz w:val="26"/>
                <w:szCs w:val="26"/>
                <w:lang w:val="es-ES"/>
              </w:rPr>
            </w:pPr>
            <w:hyperlink w:anchor="REFLEXIONES" w:history="1">
              <w:r w:rsidR="005A5EB8" w:rsidRPr="00D72140">
                <w:rPr>
                  <w:rFonts w:asciiTheme="minorHAnsi" w:hAnsiTheme="minorHAnsi" w:cs="Calibri"/>
                  <w:b/>
                  <w:bCs/>
                  <w:sz w:val="26"/>
                  <w:szCs w:val="26"/>
                  <w:lang w:val="es-ES"/>
                </w:rPr>
                <w:t>Reflexiones de interés</w:t>
              </w:r>
            </w:hyperlink>
          </w:p>
        </w:tc>
        <w:tc>
          <w:tcPr>
            <w:tcW w:w="1061" w:type="dxa"/>
            <w:tcBorders>
              <w:top w:val="nil"/>
              <w:left w:val="nil"/>
              <w:bottom w:val="nil"/>
              <w:right w:val="nil"/>
            </w:tcBorders>
            <w:vAlign w:val="center"/>
          </w:tcPr>
          <w:p w:rsidR="005A5EB8" w:rsidRPr="00EF613B" w:rsidRDefault="005A5EB8" w:rsidP="001D0650">
            <w:pPr>
              <w:spacing w:before="26" w:after="26"/>
              <w:jc w:val="center"/>
              <w:rPr>
                <w:rFonts w:ascii="Calibri" w:hAnsi="Calibri" w:cs="Calibri"/>
                <w:lang w:val="es-ES"/>
              </w:rPr>
            </w:pPr>
            <w:r w:rsidRPr="00EF613B">
              <w:rPr>
                <w:rFonts w:ascii="Calibri" w:hAnsi="Calibri" w:cs="Calibri"/>
                <w:b/>
                <w:bCs/>
                <w:sz w:val="26"/>
                <w:szCs w:val="26"/>
                <w:lang w:val="es-ES"/>
              </w:rPr>
              <w:t xml:space="preserve">p. </w:t>
            </w:r>
            <w:r w:rsidR="009215A6">
              <w:rPr>
                <w:rFonts w:ascii="Calibri" w:hAnsi="Calibri" w:cs="Calibri"/>
                <w:b/>
                <w:bCs/>
                <w:sz w:val="26"/>
                <w:szCs w:val="26"/>
                <w:lang w:val="es-ES"/>
              </w:rPr>
              <w:t>8</w:t>
            </w:r>
          </w:p>
        </w:tc>
      </w:tr>
      <w:tr w:rsidR="00C01E99" w:rsidRPr="00EF613B" w:rsidTr="00CE0A6A">
        <w:tc>
          <w:tcPr>
            <w:tcW w:w="610" w:type="dxa"/>
            <w:tcBorders>
              <w:top w:val="nil"/>
              <w:left w:val="nil"/>
              <w:bottom w:val="nil"/>
              <w:right w:val="nil"/>
            </w:tcBorders>
          </w:tcPr>
          <w:p w:rsidR="00C01E99" w:rsidRPr="00EF613B" w:rsidRDefault="00C01E99">
            <w:pPr>
              <w:spacing w:before="26" w:after="26"/>
              <w:jc w:val="both"/>
              <w:rPr>
                <w:rFonts w:ascii="Calibri" w:hAnsi="Calibri" w:cs="Calibri"/>
                <w:lang w:val="es-ES"/>
              </w:rPr>
            </w:pPr>
          </w:p>
        </w:tc>
        <w:tc>
          <w:tcPr>
            <w:tcW w:w="8322" w:type="dxa"/>
            <w:tcBorders>
              <w:top w:val="nil"/>
              <w:left w:val="nil"/>
              <w:bottom w:val="nil"/>
              <w:right w:val="nil"/>
            </w:tcBorders>
            <w:vAlign w:val="center"/>
          </w:tcPr>
          <w:p w:rsidR="00C01E99" w:rsidRPr="00D72EAF" w:rsidRDefault="001C6375" w:rsidP="00D03A74">
            <w:pPr>
              <w:spacing w:before="26" w:after="26"/>
              <w:jc w:val="both"/>
            </w:pPr>
            <w:hyperlink w:anchor="Contenido3" w:history="1">
              <w:r w:rsidR="00C01E99" w:rsidRPr="00D72EAF">
                <w:rPr>
                  <w:rStyle w:val="Hipervnculo"/>
                  <w:rFonts w:ascii="Calibri" w:hAnsi="Calibri" w:cs="Calibri"/>
                  <w:color w:val="auto"/>
                  <w:u w:val="none"/>
                </w:rPr>
                <w:t>Almacenamiento Descentralizado: impacto en las futuras redes de di</w:t>
              </w:r>
              <w:r w:rsidR="00C01E99" w:rsidRPr="00D72EAF">
                <w:rPr>
                  <w:rStyle w:val="Hipervnculo"/>
                  <w:rFonts w:ascii="Calibri" w:hAnsi="Calibri" w:cs="Calibri"/>
                  <w:color w:val="auto"/>
                  <w:u w:val="none"/>
                </w:rPr>
                <w:t>s</w:t>
              </w:r>
              <w:r w:rsidR="00C01E99" w:rsidRPr="00D72EAF">
                <w:rPr>
                  <w:rStyle w:val="Hipervnculo"/>
                  <w:rFonts w:ascii="Calibri" w:hAnsi="Calibri" w:cs="Calibri"/>
                  <w:color w:val="auto"/>
                  <w:u w:val="none"/>
                </w:rPr>
                <w:t>tribución</w:t>
              </w:r>
            </w:hyperlink>
          </w:p>
        </w:tc>
        <w:tc>
          <w:tcPr>
            <w:tcW w:w="1061" w:type="dxa"/>
            <w:tcBorders>
              <w:top w:val="nil"/>
              <w:left w:val="nil"/>
              <w:bottom w:val="nil"/>
              <w:right w:val="nil"/>
            </w:tcBorders>
            <w:vAlign w:val="center"/>
          </w:tcPr>
          <w:p w:rsidR="00C01E99" w:rsidRPr="00C01E99" w:rsidRDefault="00C01E99" w:rsidP="001D0650">
            <w:pPr>
              <w:spacing w:before="26" w:after="26"/>
              <w:jc w:val="center"/>
              <w:rPr>
                <w:rFonts w:ascii="Calibri" w:hAnsi="Calibri" w:cs="Calibri"/>
                <w:lang w:val="es-ES"/>
              </w:rPr>
            </w:pPr>
            <w:r w:rsidRPr="00C01E99">
              <w:rPr>
                <w:rFonts w:ascii="Calibri" w:hAnsi="Calibri" w:cs="Calibri"/>
                <w:lang w:val="es-ES"/>
              </w:rPr>
              <w:t xml:space="preserve">p. </w:t>
            </w:r>
            <w:r w:rsidR="009215A6">
              <w:rPr>
                <w:rFonts w:ascii="Calibri" w:hAnsi="Calibri" w:cs="Calibri"/>
                <w:lang w:val="es-ES"/>
              </w:rPr>
              <w:t>8</w:t>
            </w:r>
          </w:p>
        </w:tc>
      </w:tr>
      <w:tr w:rsidR="005A5EB8" w:rsidRPr="00EF613B" w:rsidTr="00DA3725">
        <w:tblPrEx>
          <w:tblBorders>
            <w:top w:val="single" w:sz="18" w:space="0" w:color="FFCC66"/>
            <w:bottom w:val="single" w:sz="18" w:space="0" w:color="FFCC66"/>
          </w:tblBorders>
        </w:tblPrEx>
        <w:tc>
          <w:tcPr>
            <w:tcW w:w="9993" w:type="dxa"/>
            <w:gridSpan w:val="3"/>
            <w:tcBorders>
              <w:top w:val="single" w:sz="18" w:space="0" w:color="FFCC66"/>
              <w:left w:val="nil"/>
              <w:bottom w:val="single" w:sz="18" w:space="0" w:color="FFCC66"/>
              <w:right w:val="nil"/>
            </w:tcBorders>
          </w:tcPr>
          <w:p w:rsidR="007E334E" w:rsidRDefault="007E334E">
            <w:pPr>
              <w:spacing w:before="30" w:after="120"/>
              <w:jc w:val="center"/>
              <w:rPr>
                <w:rFonts w:ascii="Calibri" w:hAnsi="Calibri" w:cs="Calibri"/>
                <w:b/>
                <w:bCs/>
                <w:sz w:val="26"/>
                <w:szCs w:val="26"/>
                <w:lang w:val="es-ES"/>
              </w:rPr>
            </w:pPr>
          </w:p>
          <w:p w:rsidR="005A5EB8" w:rsidRPr="00EF613B" w:rsidRDefault="005A5EB8" w:rsidP="002E1D77">
            <w:pPr>
              <w:pBdr>
                <w:top w:val="single" w:sz="18" w:space="1" w:color="FFCC66"/>
              </w:pBdr>
              <w:spacing w:before="30" w:after="120"/>
              <w:jc w:val="center"/>
              <w:rPr>
                <w:rFonts w:ascii="Calibri" w:hAnsi="Calibri" w:cs="Calibri"/>
                <w:b/>
                <w:bCs/>
                <w:sz w:val="26"/>
                <w:szCs w:val="26"/>
                <w:lang w:val="es-ES"/>
              </w:rPr>
            </w:pPr>
            <w:r w:rsidRPr="00EF613B">
              <w:rPr>
                <w:rFonts w:ascii="Calibri" w:hAnsi="Calibri" w:cs="Calibri"/>
                <w:b/>
                <w:bCs/>
                <w:sz w:val="26"/>
                <w:szCs w:val="26"/>
                <w:lang w:val="es-ES"/>
              </w:rPr>
              <w:t>EN ESTE NÚMERO…</w:t>
            </w:r>
          </w:p>
          <w:p w:rsidR="00DC7918" w:rsidRPr="00DC7918" w:rsidRDefault="005A5EB8" w:rsidP="00C22EB0">
            <w:pPr>
              <w:spacing w:before="30" w:after="120"/>
              <w:jc w:val="both"/>
              <w:rPr>
                <w:rFonts w:ascii="Calibri" w:hAnsi="Calibri" w:cs="Calibri"/>
                <w:i/>
                <w:iCs/>
                <w:lang w:val="es-ES"/>
              </w:rPr>
            </w:pPr>
            <w:r w:rsidRPr="00EF613B">
              <w:rPr>
                <w:rFonts w:ascii="Calibri" w:hAnsi="Calibri" w:cs="Calibri"/>
                <w:i/>
                <w:iCs/>
                <w:sz w:val="22"/>
                <w:szCs w:val="22"/>
                <w:lang w:val="es-ES"/>
              </w:rPr>
              <w:t>...presentamos como novedad</w:t>
            </w:r>
            <w:r w:rsidR="0036135B">
              <w:rPr>
                <w:rFonts w:ascii="Calibri" w:hAnsi="Calibri" w:cs="Calibri"/>
                <w:i/>
                <w:iCs/>
                <w:sz w:val="22"/>
                <w:szCs w:val="22"/>
                <w:lang w:val="es-ES"/>
              </w:rPr>
              <w:t xml:space="preserve"> regulatoria la aprobación el 13 de julio de 2012 </w:t>
            </w:r>
            <w:r w:rsidR="007117D3">
              <w:rPr>
                <w:rFonts w:ascii="Calibri" w:hAnsi="Calibri" w:cs="Calibri"/>
                <w:i/>
                <w:iCs/>
                <w:sz w:val="22"/>
                <w:szCs w:val="22"/>
                <w:lang w:val="es-ES"/>
              </w:rPr>
              <w:t>d</w:t>
            </w:r>
            <w:r w:rsidR="0036135B">
              <w:rPr>
                <w:rFonts w:ascii="Calibri" w:hAnsi="Calibri" w:cs="Calibri"/>
                <w:i/>
                <w:iCs/>
                <w:sz w:val="22"/>
                <w:szCs w:val="22"/>
                <w:lang w:val="es-ES"/>
              </w:rPr>
              <w:t>el Real Decreto-ley</w:t>
            </w:r>
            <w:r w:rsidR="007117D3">
              <w:rPr>
                <w:rFonts w:ascii="Calibri" w:hAnsi="Calibri" w:cs="Calibri"/>
                <w:i/>
                <w:iCs/>
                <w:sz w:val="22"/>
                <w:szCs w:val="22"/>
                <w:lang w:val="es-ES"/>
              </w:rPr>
              <w:t xml:space="preserve"> 20/2012</w:t>
            </w:r>
            <w:r w:rsidR="00DC7918">
              <w:rPr>
                <w:rFonts w:ascii="Calibri" w:hAnsi="Calibri" w:cs="Calibri"/>
                <w:i/>
                <w:iCs/>
                <w:sz w:val="22"/>
                <w:szCs w:val="22"/>
                <w:lang w:val="es-ES"/>
              </w:rPr>
              <w:t xml:space="preserve"> </w:t>
            </w:r>
            <w:r w:rsidR="00AB326A">
              <w:rPr>
                <w:rFonts w:ascii="Calibri" w:hAnsi="Calibri" w:cs="Calibri"/>
                <w:i/>
                <w:iCs/>
                <w:sz w:val="22"/>
                <w:szCs w:val="22"/>
                <w:lang w:val="es-ES"/>
              </w:rPr>
              <w:t xml:space="preserve">de </w:t>
            </w:r>
            <w:r w:rsidR="00DC7918">
              <w:rPr>
                <w:rFonts w:ascii="Calibri" w:hAnsi="Calibri" w:cs="Calibri"/>
                <w:i/>
                <w:iCs/>
                <w:sz w:val="22"/>
                <w:szCs w:val="22"/>
                <w:lang w:val="es-ES"/>
              </w:rPr>
              <w:t xml:space="preserve">medidas para garantizar la estabilidad presupuestaria y de fomento de la competitividad, entre las que se incluyen </w:t>
            </w:r>
            <w:r w:rsidR="00AB326A">
              <w:rPr>
                <w:rFonts w:ascii="Calibri" w:hAnsi="Calibri" w:cs="Calibri"/>
                <w:i/>
                <w:iCs/>
                <w:sz w:val="22"/>
                <w:szCs w:val="22"/>
                <w:lang w:val="es-ES"/>
              </w:rPr>
              <w:t>disposiciones</w:t>
            </w:r>
            <w:r w:rsidR="00DC7918">
              <w:rPr>
                <w:rFonts w:ascii="Calibri" w:hAnsi="Calibri" w:cs="Calibri"/>
                <w:i/>
                <w:iCs/>
                <w:sz w:val="22"/>
                <w:szCs w:val="22"/>
                <w:lang w:val="es-ES"/>
              </w:rPr>
              <w:t xml:space="preserve"> para contener el déficit de tarifa</w:t>
            </w:r>
            <w:r w:rsidR="00AB326A">
              <w:rPr>
                <w:rFonts w:ascii="Calibri" w:hAnsi="Calibri" w:cs="Calibri"/>
                <w:i/>
                <w:iCs/>
                <w:sz w:val="22"/>
                <w:szCs w:val="22"/>
                <w:lang w:val="es-ES"/>
              </w:rPr>
              <w:t xml:space="preserve"> del sector eléctrico</w:t>
            </w:r>
            <w:r w:rsidR="00DC7918">
              <w:rPr>
                <w:rFonts w:ascii="Calibri" w:hAnsi="Calibri" w:cs="Calibri"/>
                <w:i/>
                <w:iCs/>
                <w:sz w:val="22"/>
                <w:szCs w:val="22"/>
                <w:lang w:val="es-ES"/>
              </w:rPr>
              <w:t xml:space="preserve">. Estas nuevas medidas continúan con la senda de reformas que ha seguido el gobierno desde principio de año para abordar la </w:t>
            </w:r>
            <w:r w:rsidR="00AB326A">
              <w:rPr>
                <w:rFonts w:ascii="Calibri" w:hAnsi="Calibri" w:cs="Calibri"/>
                <w:i/>
                <w:iCs/>
                <w:sz w:val="22"/>
                <w:szCs w:val="22"/>
                <w:lang w:val="es-ES"/>
              </w:rPr>
              <w:t>solución a este importante problema</w:t>
            </w:r>
            <w:r w:rsidR="00DC7918">
              <w:rPr>
                <w:rFonts w:ascii="Calibri" w:hAnsi="Calibri" w:cs="Calibri"/>
                <w:i/>
                <w:iCs/>
                <w:sz w:val="22"/>
                <w:szCs w:val="22"/>
                <w:lang w:val="es-ES"/>
              </w:rPr>
              <w:t>.</w:t>
            </w:r>
          </w:p>
          <w:p w:rsidR="0036135B" w:rsidRDefault="007A02E2" w:rsidP="001071F1">
            <w:pPr>
              <w:spacing w:before="30" w:after="120"/>
              <w:jc w:val="both"/>
              <w:rPr>
                <w:rFonts w:ascii="Calibri" w:hAnsi="Calibri" w:cs="Calibri"/>
                <w:i/>
                <w:iCs/>
                <w:lang w:val="es-ES"/>
              </w:rPr>
            </w:pPr>
            <w:r>
              <w:rPr>
                <w:rFonts w:ascii="Calibri" w:hAnsi="Calibri" w:cs="Calibri"/>
                <w:i/>
                <w:iCs/>
                <w:sz w:val="22"/>
                <w:szCs w:val="22"/>
                <w:lang w:val="es-ES"/>
              </w:rPr>
              <w:t>Además</w:t>
            </w:r>
            <w:r w:rsidR="001071F1" w:rsidRPr="001071F1">
              <w:rPr>
                <w:rFonts w:ascii="Calibri" w:hAnsi="Calibri" w:cs="Calibri"/>
                <w:i/>
                <w:iCs/>
                <w:sz w:val="22"/>
                <w:szCs w:val="22"/>
                <w:lang w:val="es-ES"/>
              </w:rPr>
              <w:t xml:space="preserve">, comentamos </w:t>
            </w:r>
            <w:r w:rsidR="001071F1">
              <w:rPr>
                <w:rFonts w:ascii="Calibri" w:hAnsi="Calibri" w:cs="Calibri"/>
                <w:i/>
                <w:iCs/>
                <w:sz w:val="22"/>
                <w:szCs w:val="22"/>
                <w:lang w:val="es-ES"/>
              </w:rPr>
              <w:t>el</w:t>
            </w:r>
            <w:r w:rsidR="001071F1" w:rsidRPr="001071F1">
              <w:rPr>
                <w:rFonts w:ascii="Calibri" w:hAnsi="Calibri" w:cs="Calibri"/>
                <w:i/>
                <w:iCs/>
                <w:sz w:val="22"/>
                <w:szCs w:val="22"/>
                <w:lang w:val="es-ES"/>
              </w:rPr>
              <w:t xml:space="preserve"> informe de ENTSO-E</w:t>
            </w:r>
            <w:r w:rsidR="001071F1">
              <w:rPr>
                <w:rFonts w:ascii="Calibri" w:hAnsi="Calibri" w:cs="Calibri"/>
                <w:i/>
                <w:iCs/>
                <w:sz w:val="22"/>
                <w:szCs w:val="22"/>
                <w:lang w:val="es-ES"/>
              </w:rPr>
              <w:t xml:space="preserve"> “Ten</w:t>
            </w:r>
            <w:r w:rsidR="001071F1" w:rsidRPr="00610306">
              <w:rPr>
                <w:rFonts w:ascii="Calibri" w:hAnsi="Calibri" w:cs="Calibri"/>
                <w:i/>
                <w:iCs/>
                <w:sz w:val="22"/>
                <w:szCs w:val="22"/>
                <w:lang w:val="en-US"/>
              </w:rPr>
              <w:t xml:space="preserve"> Year</w:t>
            </w:r>
            <w:r w:rsidR="001071F1">
              <w:rPr>
                <w:rFonts w:ascii="Calibri" w:hAnsi="Calibri" w:cs="Calibri"/>
                <w:i/>
                <w:iCs/>
                <w:sz w:val="22"/>
                <w:szCs w:val="22"/>
                <w:lang w:val="es-ES"/>
              </w:rPr>
              <w:t xml:space="preserve"> Network</w:t>
            </w:r>
            <w:r w:rsidR="001071F1" w:rsidRPr="00610306">
              <w:rPr>
                <w:rFonts w:ascii="Calibri" w:hAnsi="Calibri" w:cs="Calibri"/>
                <w:i/>
                <w:iCs/>
                <w:sz w:val="22"/>
                <w:szCs w:val="22"/>
                <w:lang w:val="en-US"/>
              </w:rPr>
              <w:t xml:space="preserve"> Development</w:t>
            </w:r>
            <w:r w:rsidR="001071F1">
              <w:rPr>
                <w:rFonts w:ascii="Calibri" w:hAnsi="Calibri" w:cs="Calibri"/>
                <w:i/>
                <w:iCs/>
                <w:sz w:val="22"/>
                <w:szCs w:val="22"/>
                <w:lang w:val="es-ES"/>
              </w:rPr>
              <w:t xml:space="preserve"> Plan” que</w:t>
            </w:r>
            <w:r w:rsidR="00E300F1">
              <w:rPr>
                <w:rFonts w:ascii="Calibri" w:hAnsi="Calibri" w:cs="Calibri"/>
                <w:i/>
                <w:iCs/>
                <w:sz w:val="22"/>
                <w:szCs w:val="22"/>
                <w:lang w:val="es-ES"/>
              </w:rPr>
              <w:t>,</w:t>
            </w:r>
            <w:r w:rsidR="001071F1">
              <w:rPr>
                <w:rFonts w:ascii="Calibri" w:hAnsi="Calibri" w:cs="Calibri"/>
                <w:i/>
                <w:iCs/>
                <w:sz w:val="22"/>
                <w:szCs w:val="22"/>
                <w:lang w:val="es-ES"/>
              </w:rPr>
              <w:t xml:space="preserve"> con carácter bianual y no vinculante, da una visión del desarrollo de las redes de transporte para los próximos 10 años en Europa y describe las inversiones más importantes y necesarias para alcanzar los objetivos europeos establecidos.</w:t>
            </w:r>
          </w:p>
          <w:p w:rsidR="003E0B71" w:rsidRPr="00EF613B" w:rsidRDefault="007A02E2" w:rsidP="00E300F1">
            <w:pPr>
              <w:spacing w:before="30" w:after="120"/>
              <w:jc w:val="both"/>
              <w:rPr>
                <w:rFonts w:ascii="Calibri" w:hAnsi="Calibri" w:cs="Calibri"/>
                <w:i/>
                <w:iCs/>
                <w:lang w:val="es-ES"/>
              </w:rPr>
            </w:pPr>
            <w:r>
              <w:rPr>
                <w:rFonts w:ascii="Calibri" w:hAnsi="Calibri" w:cs="Calibri"/>
                <w:i/>
                <w:iCs/>
                <w:sz w:val="22"/>
                <w:szCs w:val="22"/>
                <w:lang w:val="es-ES"/>
              </w:rPr>
              <w:t>En el apartado de reflexiones</w:t>
            </w:r>
            <w:r w:rsidR="001071F1">
              <w:rPr>
                <w:rFonts w:ascii="Calibri" w:hAnsi="Calibri" w:cs="Calibri"/>
                <w:i/>
                <w:iCs/>
                <w:sz w:val="22"/>
                <w:szCs w:val="22"/>
                <w:lang w:val="es-ES"/>
              </w:rPr>
              <w:t xml:space="preserve">, </w:t>
            </w:r>
            <w:r w:rsidR="005546E0">
              <w:rPr>
                <w:rFonts w:ascii="Calibri" w:hAnsi="Calibri" w:cs="Calibri"/>
                <w:i/>
                <w:iCs/>
                <w:sz w:val="22"/>
                <w:szCs w:val="22"/>
                <w:lang w:val="es-ES"/>
              </w:rPr>
              <w:t xml:space="preserve">presentamos un informe publicado por </w:t>
            </w:r>
            <w:r w:rsidR="005C250B" w:rsidRPr="005C250B">
              <w:rPr>
                <w:rFonts w:ascii="Calibri" w:hAnsi="Calibri" w:cs="Calibri"/>
                <w:i/>
                <w:iCs/>
                <w:sz w:val="22"/>
                <w:szCs w:val="22"/>
                <w:lang w:val="es-ES"/>
              </w:rPr>
              <w:t xml:space="preserve">Eurelectric </w:t>
            </w:r>
            <w:r w:rsidR="00E300F1">
              <w:rPr>
                <w:rFonts w:ascii="Calibri" w:hAnsi="Calibri" w:cs="Calibri"/>
                <w:i/>
                <w:iCs/>
                <w:sz w:val="22"/>
                <w:szCs w:val="22"/>
                <w:lang w:val="es-ES"/>
              </w:rPr>
              <w:t>sobre</w:t>
            </w:r>
            <w:r w:rsidR="005C250B" w:rsidRPr="005C250B">
              <w:rPr>
                <w:rFonts w:ascii="Calibri" w:hAnsi="Calibri" w:cs="Calibri"/>
                <w:i/>
                <w:iCs/>
                <w:sz w:val="22"/>
                <w:szCs w:val="22"/>
                <w:lang w:val="es-ES"/>
              </w:rPr>
              <w:t xml:space="preserve"> el </w:t>
            </w:r>
            <w:r w:rsidR="00E300F1" w:rsidRPr="005C250B">
              <w:rPr>
                <w:rFonts w:ascii="Calibri" w:hAnsi="Calibri" w:cs="Calibri"/>
                <w:i/>
                <w:iCs/>
                <w:sz w:val="22"/>
                <w:szCs w:val="22"/>
                <w:lang w:val="es-ES"/>
              </w:rPr>
              <w:t xml:space="preserve">papel </w:t>
            </w:r>
            <w:r w:rsidR="005C250B" w:rsidRPr="005C250B">
              <w:rPr>
                <w:rFonts w:ascii="Calibri" w:hAnsi="Calibri" w:cs="Calibri"/>
                <w:i/>
                <w:iCs/>
                <w:sz w:val="22"/>
                <w:szCs w:val="22"/>
                <w:lang w:val="es-ES"/>
              </w:rPr>
              <w:t>futuro del almacenamiento</w:t>
            </w:r>
            <w:r w:rsidR="00E300F1">
              <w:rPr>
                <w:rFonts w:ascii="Calibri" w:hAnsi="Calibri" w:cs="Calibri"/>
                <w:i/>
                <w:iCs/>
                <w:sz w:val="22"/>
                <w:szCs w:val="22"/>
                <w:lang w:val="es-ES"/>
              </w:rPr>
              <w:t xml:space="preserve"> descentralizado de electricidad</w:t>
            </w:r>
            <w:r w:rsidR="005C250B" w:rsidRPr="005C250B">
              <w:rPr>
                <w:rFonts w:ascii="Calibri" w:hAnsi="Calibri" w:cs="Calibri"/>
                <w:i/>
                <w:iCs/>
                <w:sz w:val="22"/>
                <w:szCs w:val="22"/>
                <w:lang w:val="es-ES"/>
              </w:rPr>
              <w:t>,</w:t>
            </w:r>
            <w:r w:rsidR="00E300F1">
              <w:rPr>
                <w:rFonts w:ascii="Calibri" w:hAnsi="Calibri" w:cs="Calibri"/>
                <w:i/>
                <w:iCs/>
                <w:sz w:val="22"/>
                <w:szCs w:val="22"/>
                <w:lang w:val="es-ES"/>
              </w:rPr>
              <w:t xml:space="preserve"> analizando su</w:t>
            </w:r>
            <w:r w:rsidR="005C250B" w:rsidRPr="005C250B">
              <w:rPr>
                <w:rFonts w:ascii="Calibri" w:hAnsi="Calibri" w:cs="Calibri"/>
                <w:i/>
                <w:iCs/>
                <w:sz w:val="22"/>
                <w:szCs w:val="22"/>
                <w:lang w:val="es-ES"/>
              </w:rPr>
              <w:t xml:space="preserve"> impacto en las redes de distribución y su implicación en el negocio de los </w:t>
            </w:r>
            <w:r w:rsidR="00A85F2E">
              <w:rPr>
                <w:rFonts w:ascii="Calibri" w:hAnsi="Calibri" w:cs="Calibri"/>
                <w:i/>
                <w:iCs/>
                <w:sz w:val="22"/>
                <w:szCs w:val="22"/>
                <w:lang w:val="es-ES"/>
              </w:rPr>
              <w:t>d</w:t>
            </w:r>
            <w:r w:rsidR="005C250B" w:rsidRPr="005C250B">
              <w:rPr>
                <w:rFonts w:ascii="Calibri" w:hAnsi="Calibri" w:cs="Calibri"/>
                <w:i/>
                <w:iCs/>
                <w:sz w:val="22"/>
                <w:szCs w:val="22"/>
                <w:lang w:val="es-ES"/>
              </w:rPr>
              <w:t>istribuidores</w:t>
            </w:r>
          </w:p>
        </w:tc>
      </w:tr>
    </w:tbl>
    <w:p w:rsidR="005A5EB8" w:rsidRDefault="005A5EB8">
      <w:pPr>
        <w:rPr>
          <w:rFonts w:ascii="Calibri" w:hAnsi="Calibri" w:cs="Calibri"/>
          <w:b/>
          <w:bCs/>
          <w:sz w:val="2"/>
          <w:szCs w:val="2"/>
        </w:rPr>
      </w:pPr>
    </w:p>
    <w:p w:rsidR="003E0B71" w:rsidRDefault="003E0B71">
      <w:pPr>
        <w:rPr>
          <w:rFonts w:ascii="Calibri" w:hAnsi="Calibri" w:cs="Calibri"/>
          <w:b/>
          <w:bCs/>
          <w:sz w:val="2"/>
          <w:szCs w:val="2"/>
        </w:rPr>
      </w:pPr>
    </w:p>
    <w:p w:rsidR="003E0B71" w:rsidRDefault="003E0B71">
      <w:pPr>
        <w:rPr>
          <w:rFonts w:ascii="Calibri" w:hAnsi="Calibri" w:cs="Calibri"/>
          <w:b/>
          <w:bCs/>
          <w:sz w:val="2"/>
          <w:szCs w:val="2"/>
        </w:rPr>
      </w:pPr>
    </w:p>
    <w:p w:rsidR="003E0B71" w:rsidRDefault="003E0B71">
      <w:pPr>
        <w:rPr>
          <w:rFonts w:ascii="Calibri" w:hAnsi="Calibri" w:cs="Calibri"/>
          <w:b/>
          <w:bCs/>
          <w:sz w:val="2"/>
          <w:szCs w:val="2"/>
        </w:rPr>
      </w:pPr>
    </w:p>
    <w:p w:rsidR="003E0B71" w:rsidRDefault="003E0B71">
      <w:pPr>
        <w:rPr>
          <w:rFonts w:ascii="Calibri" w:hAnsi="Calibri" w:cs="Calibri"/>
          <w:b/>
          <w:bCs/>
          <w:sz w:val="2"/>
          <w:szCs w:val="2"/>
        </w:rPr>
      </w:pPr>
    </w:p>
    <w:p w:rsidR="003E0B71" w:rsidRPr="00EF613B" w:rsidRDefault="003E0B71">
      <w:pPr>
        <w:rPr>
          <w:rFonts w:ascii="Calibri" w:hAnsi="Calibri" w:cs="Calibri"/>
          <w:b/>
          <w:bCs/>
          <w:sz w:val="2"/>
          <w:szCs w:val="2"/>
        </w:rPr>
      </w:pPr>
    </w:p>
    <w:p w:rsidR="005A5EB8" w:rsidRPr="00EF613B" w:rsidRDefault="005A5EB8" w:rsidP="002C1202">
      <w:pPr>
        <w:keepNext/>
        <w:pBdr>
          <w:top w:val="single" w:sz="18" w:space="1" w:color="FFCC66"/>
          <w:left w:val="single" w:sz="18" w:space="4" w:color="FFCC66"/>
          <w:bottom w:val="single" w:sz="18" w:space="1" w:color="FFCC66"/>
          <w:right w:val="single" w:sz="18" w:space="4" w:color="FFCC66"/>
        </w:pBdr>
        <w:shd w:val="clear" w:color="auto" w:fill="FFCC66"/>
        <w:spacing w:before="480" w:after="480"/>
        <w:rPr>
          <w:rFonts w:ascii="Calibri" w:hAnsi="Calibri" w:cs="Calibri"/>
          <w:b/>
          <w:bCs/>
          <w:sz w:val="36"/>
          <w:szCs w:val="36"/>
          <w:lang w:val="es-ES"/>
        </w:rPr>
      </w:pPr>
      <w:bookmarkStart w:id="0" w:name="NOVEDADES"/>
      <w:bookmarkEnd w:id="0"/>
      <w:r w:rsidRPr="00EF613B">
        <w:rPr>
          <w:rFonts w:ascii="Calibri" w:hAnsi="Calibri" w:cs="Calibri"/>
          <w:b/>
          <w:bCs/>
          <w:sz w:val="36"/>
          <w:szCs w:val="36"/>
          <w:lang w:val="es-ES"/>
        </w:rPr>
        <w:t>Novedades en el sector</w:t>
      </w:r>
    </w:p>
    <w:p w:rsidR="0036135B" w:rsidRPr="00471B29" w:rsidRDefault="0036135B" w:rsidP="0036135B">
      <w:pPr>
        <w:pStyle w:val="Sangradetextonormal"/>
        <w:spacing w:before="240" w:after="360"/>
        <w:jc w:val="left"/>
        <w:rPr>
          <w:rFonts w:cs="Calibri"/>
          <w:b/>
          <w:bCs/>
          <w:i w:val="0"/>
          <w:iCs w:val="0"/>
          <w:sz w:val="28"/>
          <w:szCs w:val="28"/>
        </w:rPr>
      </w:pPr>
      <w:bookmarkStart w:id="1" w:name="Contenido1"/>
      <w:bookmarkEnd w:id="1"/>
      <w:r>
        <w:rPr>
          <w:rFonts w:cs="Calibri"/>
          <w:b/>
          <w:bCs/>
          <w:i w:val="0"/>
          <w:iCs w:val="0"/>
          <w:sz w:val="28"/>
          <w:szCs w:val="28"/>
        </w:rPr>
        <w:t xml:space="preserve">Real Decreto-ley 20/2012 </w:t>
      </w:r>
      <w:r w:rsidR="00371C01" w:rsidRPr="00371C01">
        <w:rPr>
          <w:rFonts w:cs="Calibri"/>
          <w:b/>
          <w:bCs/>
          <w:i w:val="0"/>
          <w:iCs w:val="0"/>
          <w:sz w:val="28"/>
          <w:szCs w:val="28"/>
        </w:rPr>
        <w:t>de medidas para garantizar la estabilidad presupuestaria y de fomento de la competitividad, entre las que se incluyen una nueva serie de medidas para contener el déficit de tarifa</w:t>
      </w:r>
      <w:r w:rsidR="00371C01">
        <w:rPr>
          <w:rFonts w:cs="Calibri"/>
          <w:b/>
          <w:bCs/>
          <w:i w:val="0"/>
          <w:iCs w:val="0"/>
          <w:sz w:val="28"/>
          <w:szCs w:val="28"/>
        </w:rPr>
        <w:t>.</w:t>
      </w:r>
    </w:p>
    <w:p w:rsidR="0036135B" w:rsidRPr="00471B29" w:rsidRDefault="0036135B" w:rsidP="0036135B">
      <w:pPr>
        <w:pBdr>
          <w:top w:val="single" w:sz="8" w:space="1" w:color="FFCC66"/>
          <w:left w:val="single" w:sz="8" w:space="4" w:color="FFCC66"/>
          <w:bottom w:val="single" w:sz="8" w:space="1" w:color="FFCC66"/>
          <w:right w:val="single" w:sz="8" w:space="5" w:color="FFCC66"/>
        </w:pBdr>
        <w:shd w:val="clear" w:color="auto" w:fill="FFFFCC"/>
        <w:spacing w:after="180"/>
        <w:jc w:val="both"/>
        <w:rPr>
          <w:rFonts w:ascii="Calibri" w:hAnsi="Calibri" w:cs="Calibri"/>
          <w:i/>
          <w:iCs/>
          <w:lang w:val="es-ES"/>
        </w:rPr>
      </w:pPr>
      <w:r>
        <w:rPr>
          <w:rFonts w:ascii="Calibri" w:hAnsi="Calibri" w:cs="Calibri"/>
          <w:i/>
          <w:iCs/>
          <w:lang w:val="es-ES"/>
        </w:rPr>
        <w:lastRenderedPageBreak/>
        <w:t xml:space="preserve">El gobierno ha aprobado el Real Decreto-ley 20/2012, </w:t>
      </w:r>
      <w:r w:rsidR="00A85F2E">
        <w:rPr>
          <w:rFonts w:ascii="Calibri" w:hAnsi="Calibri" w:cs="Calibri"/>
          <w:i/>
          <w:iCs/>
          <w:lang w:val="es-ES"/>
        </w:rPr>
        <w:t xml:space="preserve">de 13 de julio de 2012, </w:t>
      </w:r>
      <w:r>
        <w:rPr>
          <w:rFonts w:ascii="Calibri" w:hAnsi="Calibri" w:cs="Calibri"/>
          <w:i/>
          <w:iCs/>
          <w:lang w:val="es-ES"/>
        </w:rPr>
        <w:t>de medidas para garantizar la estabilidad presupuestaria y de fomento de la competitividad, entre las que se incluyen varias destinadas a reducir el déficit de tarifa</w:t>
      </w:r>
      <w:r w:rsidR="00A85F2E">
        <w:rPr>
          <w:rFonts w:ascii="Calibri" w:hAnsi="Calibri" w:cs="Calibri"/>
          <w:i/>
          <w:iCs/>
          <w:lang w:val="es-ES"/>
        </w:rPr>
        <w:t xml:space="preserve"> en el sector eléctrico</w:t>
      </w:r>
      <w:r w:rsidRPr="00471B29">
        <w:rPr>
          <w:rFonts w:ascii="Calibri" w:hAnsi="Calibri" w:cs="Calibri"/>
          <w:i/>
          <w:iCs/>
          <w:lang w:val="es-ES"/>
        </w:rPr>
        <w:t>.</w:t>
      </w:r>
    </w:p>
    <w:p w:rsidR="005A5EB8" w:rsidRPr="00EF613B" w:rsidRDefault="0036135B" w:rsidP="0036135B">
      <w:pPr>
        <w:pBdr>
          <w:top w:val="single" w:sz="8" w:space="1" w:color="FFCC66"/>
          <w:left w:val="single" w:sz="8" w:space="4" w:color="FFCC66"/>
          <w:bottom w:val="single" w:sz="8" w:space="1" w:color="FFCC66"/>
          <w:right w:val="single" w:sz="8" w:space="5" w:color="FFCC66"/>
        </w:pBdr>
        <w:shd w:val="clear" w:color="auto" w:fill="FFFFCC"/>
        <w:spacing w:before="120" w:after="360"/>
        <w:jc w:val="both"/>
        <w:rPr>
          <w:rFonts w:ascii="Calibri" w:hAnsi="Calibri" w:cs="Calibri"/>
          <w:i/>
          <w:sz w:val="20"/>
          <w:lang w:val="es-ES"/>
        </w:rPr>
      </w:pPr>
      <w:r w:rsidRPr="00471B29">
        <w:rPr>
          <w:rFonts w:ascii="Calibri" w:hAnsi="Calibri"/>
          <w:i/>
          <w:sz w:val="20"/>
          <w:lang w:val="es-ES"/>
        </w:rPr>
        <w:t>Enlace:</w:t>
      </w:r>
      <w:r>
        <w:rPr>
          <w:rFonts w:ascii="Calibri" w:hAnsi="Calibri"/>
          <w:i/>
          <w:sz w:val="20"/>
          <w:lang w:val="es-ES"/>
        </w:rPr>
        <w:t xml:space="preserve"> </w:t>
      </w:r>
      <w:hyperlink r:id="rId9" w:history="1">
        <w:r w:rsidRPr="00984BDE">
          <w:rPr>
            <w:rStyle w:val="Hipervnculo"/>
            <w:rFonts w:ascii="Calibri" w:hAnsi="Calibri"/>
            <w:i/>
            <w:sz w:val="20"/>
            <w:lang w:val="es-ES"/>
          </w:rPr>
          <w:t>Real Decreto-ley 20/2012, de 13 de julio, de medidas para garantizar la estabilidad presupuestaria y de fomento de la competitividad</w:t>
        </w:r>
      </w:hyperlink>
    </w:p>
    <w:p w:rsidR="001C318E" w:rsidRDefault="0036135B" w:rsidP="0036135B">
      <w:pPr>
        <w:spacing w:after="180"/>
        <w:jc w:val="both"/>
        <w:rPr>
          <w:rFonts w:ascii="Calibri" w:hAnsi="Calibri" w:cs="Georgia"/>
          <w:lang w:val="es-ES"/>
        </w:rPr>
      </w:pPr>
      <w:r>
        <w:rPr>
          <w:rFonts w:ascii="Calibri" w:hAnsi="Calibri" w:cs="Georgia"/>
          <w:lang w:val="es-ES"/>
        </w:rPr>
        <w:t xml:space="preserve">El pasado 14 de julio de 2012 se publicó en el BOE el Real Decreto-ley 20/2012 (RDL 20/2012), por el que se aprueban diversas medidas para garantizar la estabilidad presupuestaria y de fomento de la competitividad. </w:t>
      </w:r>
      <w:r w:rsidR="00A85F2E">
        <w:rPr>
          <w:rFonts w:ascii="Calibri" w:hAnsi="Calibri" w:cs="Georgia"/>
          <w:lang w:val="es-ES"/>
        </w:rPr>
        <w:t xml:space="preserve">Como todo real decreto-ley, incluye normativa </w:t>
      </w:r>
      <w:r w:rsidR="00A85F2E" w:rsidRPr="001C318E">
        <w:rPr>
          <w:rFonts w:ascii="Calibri" w:hAnsi="Calibri" w:cs="Georgia"/>
          <w:lang w:val="es-ES"/>
        </w:rPr>
        <w:t xml:space="preserve">de extraordinaria y urgente necesidad, y fue convalidado </w:t>
      </w:r>
      <w:r w:rsidR="001C318E" w:rsidRPr="001C318E">
        <w:rPr>
          <w:rFonts w:ascii="Calibri" w:hAnsi="Calibri" w:cs="Georgia"/>
          <w:lang w:val="es-ES"/>
        </w:rPr>
        <w:t>posteriormente</w:t>
      </w:r>
      <w:r w:rsidR="00A85F2E" w:rsidRPr="001C318E">
        <w:rPr>
          <w:rFonts w:ascii="Calibri" w:hAnsi="Calibri" w:cs="Georgia"/>
          <w:lang w:val="es-ES"/>
        </w:rPr>
        <w:t xml:space="preserve"> en el Parlamento el </w:t>
      </w:r>
      <w:r w:rsidR="00E668BC">
        <w:rPr>
          <w:rFonts w:ascii="Calibri" w:hAnsi="Calibri" w:cs="Georgia"/>
          <w:lang w:val="es-ES"/>
        </w:rPr>
        <w:t>19</w:t>
      </w:r>
      <w:r w:rsidR="00A85F2E" w:rsidRPr="001C318E">
        <w:rPr>
          <w:rFonts w:ascii="Calibri" w:hAnsi="Calibri" w:cs="Georgia"/>
          <w:lang w:val="es-ES"/>
        </w:rPr>
        <w:t xml:space="preserve"> de julio de 2012</w:t>
      </w:r>
      <w:r w:rsidR="001C318E">
        <w:rPr>
          <w:rFonts w:ascii="Calibri" w:hAnsi="Calibri" w:cs="Georgia"/>
          <w:lang w:val="es-ES"/>
        </w:rPr>
        <w:t>.</w:t>
      </w:r>
    </w:p>
    <w:p w:rsidR="0036135B" w:rsidRDefault="0036135B" w:rsidP="001C318E">
      <w:pPr>
        <w:spacing w:after="180"/>
        <w:jc w:val="both"/>
        <w:rPr>
          <w:rFonts w:ascii="Calibri" w:hAnsi="Calibri" w:cs="Georgia"/>
          <w:lang w:val="es-ES"/>
        </w:rPr>
      </w:pPr>
      <w:r>
        <w:rPr>
          <w:rFonts w:ascii="Calibri" w:hAnsi="Calibri" w:cs="Georgia"/>
          <w:lang w:val="es-ES"/>
        </w:rPr>
        <w:t>Las medidas</w:t>
      </w:r>
      <w:r w:rsidR="001C318E">
        <w:rPr>
          <w:rFonts w:ascii="Calibri" w:hAnsi="Calibri" w:cs="Georgia"/>
          <w:lang w:val="es-ES"/>
        </w:rPr>
        <w:t xml:space="preserve"> aprobadas</w:t>
      </w:r>
      <w:r>
        <w:rPr>
          <w:rFonts w:ascii="Calibri" w:hAnsi="Calibri" w:cs="Georgia"/>
          <w:lang w:val="es-ES"/>
        </w:rPr>
        <w:t xml:space="preserve"> pivotan sobre dos ejes: la consolidación fiscal y el impulso de nuevas reformas estructurales. Entre </w:t>
      </w:r>
      <w:r w:rsidR="001C318E">
        <w:rPr>
          <w:rFonts w:ascii="Calibri" w:hAnsi="Calibri" w:cs="Georgia"/>
          <w:lang w:val="es-ES"/>
        </w:rPr>
        <w:t>é</w:t>
      </w:r>
      <w:r>
        <w:rPr>
          <w:rFonts w:ascii="Calibri" w:hAnsi="Calibri" w:cs="Georgia"/>
          <w:lang w:val="es-ES"/>
        </w:rPr>
        <w:t>stas</w:t>
      </w:r>
      <w:r w:rsidR="001C318E">
        <w:rPr>
          <w:rFonts w:ascii="Calibri" w:hAnsi="Calibri" w:cs="Georgia"/>
          <w:lang w:val="es-ES"/>
        </w:rPr>
        <w:t>,</w:t>
      </w:r>
      <w:r>
        <w:rPr>
          <w:rFonts w:ascii="Calibri" w:hAnsi="Calibri" w:cs="Georgia"/>
          <w:lang w:val="es-ES"/>
        </w:rPr>
        <w:t xml:space="preserve"> se encuentran las destinadas a reducir el déficit de tarifa</w:t>
      </w:r>
      <w:r w:rsidR="001C318E">
        <w:rPr>
          <w:rFonts w:ascii="Calibri" w:hAnsi="Calibri" w:cs="Georgia"/>
          <w:lang w:val="es-ES"/>
        </w:rPr>
        <w:t xml:space="preserve"> del sector eléctrico</w:t>
      </w:r>
      <w:r>
        <w:rPr>
          <w:rFonts w:ascii="Calibri" w:hAnsi="Calibri" w:cs="Georgia"/>
          <w:lang w:val="es-ES"/>
        </w:rPr>
        <w:t xml:space="preserve">, cuya solución es urgente por la amenaza que supone actualmente para </w:t>
      </w:r>
      <w:r w:rsidR="001C318E">
        <w:rPr>
          <w:rFonts w:ascii="Calibri" w:hAnsi="Calibri" w:cs="Georgia"/>
          <w:lang w:val="es-ES"/>
        </w:rPr>
        <w:t xml:space="preserve">su </w:t>
      </w:r>
      <w:r>
        <w:rPr>
          <w:rFonts w:ascii="Calibri" w:hAnsi="Calibri" w:cs="Georgia"/>
          <w:lang w:val="es-ES"/>
        </w:rPr>
        <w:t>sostenibilidad económica</w:t>
      </w:r>
      <w:r w:rsidR="001C318E">
        <w:rPr>
          <w:rFonts w:ascii="Calibri" w:hAnsi="Calibri" w:cs="Georgia"/>
          <w:lang w:val="es-ES"/>
        </w:rPr>
        <w:t xml:space="preserve">, representando </w:t>
      </w:r>
      <w:r>
        <w:rPr>
          <w:rFonts w:ascii="Calibri" w:hAnsi="Calibri" w:cs="Georgia"/>
          <w:lang w:val="es-ES"/>
        </w:rPr>
        <w:t xml:space="preserve">un paso más para garantizar el cumplimiento legal de alcanzar la suficiencia tarifaria en 2013. </w:t>
      </w:r>
      <w:r w:rsidR="001C318E">
        <w:rPr>
          <w:rFonts w:ascii="Calibri" w:hAnsi="Calibri" w:cs="Georgia"/>
          <w:lang w:val="es-ES"/>
        </w:rPr>
        <w:t>Según el real decreto-le</w:t>
      </w:r>
      <w:r w:rsidR="00E668BC">
        <w:rPr>
          <w:rFonts w:ascii="Calibri" w:hAnsi="Calibri" w:cs="Georgia"/>
          <w:lang w:val="es-ES"/>
        </w:rPr>
        <w:t>y</w:t>
      </w:r>
      <w:r w:rsidR="001C318E">
        <w:rPr>
          <w:rFonts w:ascii="Calibri" w:hAnsi="Calibri" w:cs="Georgia"/>
          <w:lang w:val="es-ES"/>
        </w:rPr>
        <w:t>, e</w:t>
      </w:r>
      <w:r>
        <w:rPr>
          <w:rFonts w:ascii="Calibri" w:hAnsi="Calibri" w:cs="Georgia"/>
          <w:lang w:val="es-ES"/>
        </w:rPr>
        <w:t>stos ajustes serán completados con otras medidas adicionales antes de final de año.</w:t>
      </w:r>
    </w:p>
    <w:p w:rsidR="0036135B" w:rsidRDefault="0036135B" w:rsidP="0036135B">
      <w:pPr>
        <w:spacing w:after="180"/>
        <w:jc w:val="both"/>
        <w:rPr>
          <w:rFonts w:ascii="Calibri" w:hAnsi="Calibri" w:cs="Georgia"/>
          <w:lang w:val="es-ES"/>
        </w:rPr>
      </w:pPr>
      <w:r>
        <w:rPr>
          <w:rFonts w:ascii="Calibri" w:hAnsi="Calibri" w:cs="Georgia"/>
          <w:lang w:val="es-ES"/>
        </w:rPr>
        <w:t>En enero de este año, se aprobó el Real Decreto-ley 1/</w:t>
      </w:r>
      <w:r w:rsidR="008E3F0E" w:rsidRPr="008E3F0E">
        <w:rPr>
          <w:rFonts w:asciiTheme="minorHAnsi" w:hAnsiTheme="minorHAnsi" w:cs="Georgia"/>
          <w:lang w:val="es-ES"/>
        </w:rPr>
        <w:t>2012</w:t>
      </w:r>
      <w:r w:rsidR="008E3F0E" w:rsidRPr="008E3F0E">
        <w:rPr>
          <w:rStyle w:val="Refdenotaalpie"/>
          <w:rFonts w:asciiTheme="minorHAnsi" w:hAnsiTheme="minorHAnsi"/>
          <w:lang w:val="es-ES"/>
        </w:rPr>
        <w:footnoteReference w:id="1"/>
      </w:r>
      <w:r w:rsidR="008E3F0E" w:rsidRPr="008E3F0E">
        <w:rPr>
          <w:rFonts w:asciiTheme="minorHAnsi" w:hAnsiTheme="minorHAnsi" w:cs="Georgia"/>
          <w:lang w:val="es-ES"/>
        </w:rPr>
        <w:t>, en</w:t>
      </w:r>
      <w:r>
        <w:rPr>
          <w:rFonts w:ascii="Calibri" w:hAnsi="Calibri" w:cs="Georgia"/>
          <w:lang w:val="es-ES"/>
        </w:rPr>
        <w:t xml:space="preserve"> el que por el que se procedió</w:t>
      </w:r>
      <w:r w:rsidRPr="004C25CB">
        <w:rPr>
          <w:rFonts w:ascii="Calibri" w:hAnsi="Calibri" w:cs="Georgia"/>
          <w:lang w:val="es-ES"/>
        </w:rPr>
        <w:t xml:space="preserve"> a la suspensión de los procedimientos de preasignación de retribución y a la supresión de los incentivos económicos para nuevas instalaciones de producción de energía eléctrica a partir de la cogeneración, fuentes d</w:t>
      </w:r>
      <w:r>
        <w:rPr>
          <w:rFonts w:ascii="Calibri" w:hAnsi="Calibri" w:cs="Georgia"/>
          <w:lang w:val="es-ES"/>
        </w:rPr>
        <w:t>e energía renovables y residuos, l</w:t>
      </w:r>
      <w:r w:rsidRPr="004C25CB">
        <w:rPr>
          <w:rFonts w:ascii="Calibri" w:hAnsi="Calibri" w:cs="Georgia"/>
          <w:lang w:val="es-ES"/>
        </w:rPr>
        <w:t>imita</w:t>
      </w:r>
      <w:r>
        <w:rPr>
          <w:rFonts w:ascii="Calibri" w:hAnsi="Calibri" w:cs="Georgia"/>
          <w:lang w:val="es-ES"/>
        </w:rPr>
        <w:t>ndo</w:t>
      </w:r>
      <w:r w:rsidRPr="004C25CB">
        <w:rPr>
          <w:rFonts w:ascii="Calibri" w:hAnsi="Calibri" w:cs="Georgia"/>
          <w:lang w:val="es-ES"/>
        </w:rPr>
        <w:t xml:space="preserve"> su alcance a las instalaciones mencionadas que no h</w:t>
      </w:r>
      <w:r>
        <w:rPr>
          <w:rFonts w:ascii="Calibri" w:hAnsi="Calibri" w:cs="Georgia"/>
          <w:lang w:val="es-ES"/>
        </w:rPr>
        <w:t>ubieran</w:t>
      </w:r>
      <w:r w:rsidRPr="004C25CB">
        <w:rPr>
          <w:rFonts w:ascii="Calibri" w:hAnsi="Calibri" w:cs="Georgia"/>
          <w:lang w:val="es-ES"/>
        </w:rPr>
        <w:t xml:space="preserve"> obtenido aún la inscripción en el Registro de preasignación de retribución.</w:t>
      </w:r>
      <w:r>
        <w:rPr>
          <w:rFonts w:ascii="Calibri" w:hAnsi="Calibri" w:cs="Georgia"/>
          <w:lang w:val="es-ES"/>
        </w:rPr>
        <w:t xml:space="preserve"> Se suprimieron </w:t>
      </w:r>
      <w:r w:rsidRPr="004C25CB">
        <w:rPr>
          <w:rFonts w:ascii="Calibri" w:hAnsi="Calibri" w:cs="Georgia"/>
          <w:lang w:val="es-ES"/>
        </w:rPr>
        <w:t>así los valores de las tarifas reguladas, primas y límites previstos</w:t>
      </w:r>
      <w:r>
        <w:rPr>
          <w:rFonts w:ascii="Calibri" w:hAnsi="Calibri" w:cs="Georgia"/>
          <w:lang w:val="es-ES"/>
        </w:rPr>
        <w:t xml:space="preserve"> </w:t>
      </w:r>
      <w:r w:rsidRPr="004C25CB">
        <w:rPr>
          <w:rFonts w:ascii="Calibri" w:hAnsi="Calibri" w:cs="Georgia"/>
          <w:lang w:val="es-ES"/>
        </w:rPr>
        <w:t xml:space="preserve">en el </w:t>
      </w:r>
      <w:hyperlink r:id="rId10" w:history="1">
        <w:r w:rsidRPr="00BB605F">
          <w:rPr>
            <w:rStyle w:val="Hipervnculo"/>
            <w:rFonts w:ascii="Calibri" w:hAnsi="Calibri" w:cs="Georgia"/>
            <w:lang w:val="es-ES"/>
          </w:rPr>
          <w:t>Real Decreto 661/2007</w:t>
        </w:r>
      </w:hyperlink>
      <w:r w:rsidRPr="004C25CB">
        <w:rPr>
          <w:rFonts w:ascii="Calibri" w:hAnsi="Calibri" w:cs="Georgia"/>
          <w:lang w:val="es-ES"/>
        </w:rPr>
        <w:t>, de 25 de mayo, por el que se regula la actividad</w:t>
      </w:r>
      <w:r>
        <w:rPr>
          <w:rFonts w:ascii="Calibri" w:hAnsi="Calibri" w:cs="Georgia"/>
          <w:lang w:val="es-ES"/>
        </w:rPr>
        <w:t xml:space="preserve"> </w:t>
      </w:r>
      <w:r w:rsidRPr="004C25CB">
        <w:rPr>
          <w:rFonts w:ascii="Calibri" w:hAnsi="Calibri" w:cs="Georgia"/>
          <w:lang w:val="es-ES"/>
        </w:rPr>
        <w:t>de producción de energía eléctrica en régimen especial</w:t>
      </w:r>
      <w:r>
        <w:rPr>
          <w:rFonts w:ascii="Calibri" w:hAnsi="Calibri" w:cs="Georgia"/>
          <w:lang w:val="es-ES"/>
        </w:rPr>
        <w:t>, con carácter temporal hasta la solución del problema del déficit.</w:t>
      </w:r>
    </w:p>
    <w:p w:rsidR="002D5F54" w:rsidRDefault="0036135B" w:rsidP="0036135B">
      <w:pPr>
        <w:spacing w:after="180"/>
        <w:jc w:val="both"/>
        <w:rPr>
          <w:rFonts w:ascii="Calibri" w:hAnsi="Calibri" w:cs="Georgia"/>
          <w:lang w:val="es-ES"/>
        </w:rPr>
      </w:pPr>
      <w:r>
        <w:rPr>
          <w:rFonts w:ascii="Calibri" w:hAnsi="Calibri" w:cs="Georgia"/>
          <w:lang w:val="es-ES"/>
        </w:rPr>
        <w:t>En marzo de este año, en un segundo paso, se aprobó el Real Decreto-ley 13/2012</w:t>
      </w:r>
      <w:r w:rsidR="008E3F0E" w:rsidRPr="008E3F0E">
        <w:rPr>
          <w:rStyle w:val="Refdenotaalpie"/>
          <w:rFonts w:asciiTheme="minorHAnsi" w:hAnsiTheme="minorHAnsi"/>
          <w:lang w:val="es-ES"/>
        </w:rPr>
        <w:footnoteReference w:id="2"/>
      </w:r>
      <w:r w:rsidR="008E3F0E" w:rsidRPr="008E3F0E">
        <w:rPr>
          <w:rFonts w:asciiTheme="minorHAnsi" w:hAnsiTheme="minorHAnsi" w:cs="Georgia"/>
          <w:lang w:val="es-ES"/>
        </w:rPr>
        <w:t xml:space="preserve"> </w:t>
      </w:r>
      <w:r w:rsidRPr="00CD1C2D">
        <w:rPr>
          <w:rFonts w:ascii="Calibri" w:hAnsi="Calibri" w:cs="Georgia"/>
          <w:lang w:val="es-ES"/>
        </w:rPr>
        <w:t>por el que se transp</w:t>
      </w:r>
      <w:r>
        <w:rPr>
          <w:rFonts w:ascii="Calibri" w:hAnsi="Calibri" w:cs="Georgia"/>
          <w:lang w:val="es-ES"/>
        </w:rPr>
        <w:t>usieron</w:t>
      </w:r>
      <w:r w:rsidRPr="00CD1C2D">
        <w:rPr>
          <w:rFonts w:ascii="Calibri" w:hAnsi="Calibri" w:cs="Georgia"/>
          <w:lang w:val="es-ES"/>
        </w:rPr>
        <w:t xml:space="preserve"> directivas en materia de mercados interiores de electricidad y gas y en materia de comunicaciones electrónicas, y por el que se adopt</w:t>
      </w:r>
      <w:r>
        <w:rPr>
          <w:rFonts w:ascii="Calibri" w:hAnsi="Calibri" w:cs="Georgia"/>
          <w:lang w:val="es-ES"/>
        </w:rPr>
        <w:t>ó</w:t>
      </w:r>
      <w:r w:rsidRPr="00CD1C2D">
        <w:rPr>
          <w:rFonts w:ascii="Calibri" w:hAnsi="Calibri" w:cs="Georgia"/>
          <w:lang w:val="es-ES"/>
        </w:rPr>
        <w:t xml:space="preserve"> </w:t>
      </w:r>
      <w:r>
        <w:rPr>
          <w:rFonts w:ascii="Calibri" w:hAnsi="Calibri" w:cs="Georgia"/>
          <w:lang w:val="es-ES"/>
        </w:rPr>
        <w:t xml:space="preserve">un paquete de </w:t>
      </w:r>
      <w:r w:rsidRPr="00CD1C2D">
        <w:rPr>
          <w:rFonts w:ascii="Calibri" w:hAnsi="Calibri" w:cs="Georgia"/>
          <w:lang w:val="es-ES"/>
        </w:rPr>
        <w:t xml:space="preserve">medidas </w:t>
      </w:r>
      <w:r>
        <w:rPr>
          <w:rFonts w:ascii="Calibri" w:hAnsi="Calibri" w:cs="Georgia"/>
          <w:lang w:val="es-ES"/>
        </w:rPr>
        <w:t xml:space="preserve">urgentes </w:t>
      </w:r>
      <w:r w:rsidRPr="00CD1C2D">
        <w:rPr>
          <w:rFonts w:ascii="Calibri" w:hAnsi="Calibri" w:cs="Georgia"/>
          <w:lang w:val="es-ES"/>
        </w:rPr>
        <w:t xml:space="preserve">para </w:t>
      </w:r>
      <w:r>
        <w:rPr>
          <w:rFonts w:ascii="Calibri" w:hAnsi="Calibri" w:cs="Georgia"/>
          <w:lang w:val="es-ES"/>
        </w:rPr>
        <w:t>una nueva</w:t>
      </w:r>
      <w:r w:rsidRPr="00CD1C2D">
        <w:rPr>
          <w:rFonts w:ascii="Calibri" w:hAnsi="Calibri" w:cs="Georgia"/>
          <w:lang w:val="es-ES"/>
        </w:rPr>
        <w:t xml:space="preserve"> corrección de las desviaciones por desajustes entre los costes e ingresos de</w:t>
      </w:r>
      <w:r>
        <w:rPr>
          <w:rFonts w:ascii="Calibri" w:hAnsi="Calibri" w:cs="Georgia"/>
          <w:lang w:val="es-ES"/>
        </w:rPr>
        <w:t>l</w:t>
      </w:r>
      <w:r w:rsidRPr="00CD1C2D">
        <w:rPr>
          <w:rFonts w:ascii="Calibri" w:hAnsi="Calibri" w:cs="Georgia"/>
          <w:lang w:val="es-ES"/>
        </w:rPr>
        <w:t xml:space="preserve"> </w:t>
      </w:r>
      <w:r>
        <w:rPr>
          <w:rFonts w:ascii="Calibri" w:hAnsi="Calibri" w:cs="Georgia"/>
          <w:lang w:val="es-ES"/>
        </w:rPr>
        <w:t>sector</w:t>
      </w:r>
      <w:r w:rsidRPr="00CD1C2D">
        <w:rPr>
          <w:rFonts w:ascii="Calibri" w:hAnsi="Calibri" w:cs="Georgia"/>
          <w:lang w:val="es-ES"/>
        </w:rPr>
        <w:t xml:space="preserve"> eléctrico</w:t>
      </w:r>
      <w:r>
        <w:rPr>
          <w:rFonts w:ascii="Calibri" w:hAnsi="Calibri" w:cs="Georgia"/>
          <w:lang w:val="es-ES"/>
        </w:rPr>
        <w:t xml:space="preserve">. </w:t>
      </w:r>
      <w:r w:rsidR="002D5F54">
        <w:rPr>
          <w:rFonts w:ascii="Calibri" w:hAnsi="Calibri" w:cs="Georgia"/>
          <w:lang w:val="es-ES"/>
        </w:rPr>
        <w:t xml:space="preserve">Con la aprobación de este </w:t>
      </w:r>
      <w:r w:rsidR="008342B4">
        <w:rPr>
          <w:rFonts w:ascii="Calibri" w:hAnsi="Calibri" w:cs="Georgia"/>
          <w:lang w:val="es-ES"/>
        </w:rPr>
        <w:t>r</w:t>
      </w:r>
      <w:r w:rsidR="002D5F54">
        <w:rPr>
          <w:rFonts w:ascii="Calibri" w:hAnsi="Calibri" w:cs="Georgia"/>
          <w:lang w:val="es-ES"/>
        </w:rPr>
        <w:t xml:space="preserve">eal </w:t>
      </w:r>
      <w:r w:rsidR="008342B4">
        <w:rPr>
          <w:rFonts w:ascii="Calibri" w:hAnsi="Calibri" w:cs="Georgia"/>
          <w:lang w:val="es-ES"/>
        </w:rPr>
        <w:t>d</w:t>
      </w:r>
      <w:r w:rsidR="001C318E">
        <w:rPr>
          <w:rFonts w:ascii="Calibri" w:hAnsi="Calibri" w:cs="Georgia"/>
          <w:lang w:val="es-ES"/>
        </w:rPr>
        <w:t>ecreto-l</w:t>
      </w:r>
      <w:r w:rsidR="002D5F54">
        <w:rPr>
          <w:rFonts w:ascii="Calibri" w:hAnsi="Calibri" w:cs="Georgia"/>
          <w:lang w:val="es-ES"/>
        </w:rPr>
        <w:t>ey</w:t>
      </w:r>
      <w:r w:rsidR="001C318E">
        <w:rPr>
          <w:rFonts w:ascii="Calibri" w:hAnsi="Calibri" w:cs="Georgia"/>
          <w:lang w:val="es-ES"/>
        </w:rPr>
        <w:t>,</w:t>
      </w:r>
      <w:r w:rsidR="002D5F54">
        <w:rPr>
          <w:rFonts w:ascii="Calibri" w:hAnsi="Calibri" w:cs="Georgia"/>
          <w:lang w:val="es-ES"/>
        </w:rPr>
        <w:t xml:space="preserve"> se redujeron</w:t>
      </w:r>
      <w:r w:rsidR="002D5F54" w:rsidRPr="002D5F54">
        <w:rPr>
          <w:rFonts w:ascii="Calibri" w:hAnsi="Calibri" w:cs="Georgia"/>
          <w:lang w:val="es-ES"/>
        </w:rPr>
        <w:t xml:space="preserve"> los costes del sistema eléctrico en alrededor de 1.700 millones</w:t>
      </w:r>
      <w:r w:rsidR="008342B4">
        <w:rPr>
          <w:rFonts w:ascii="Calibri" w:hAnsi="Calibri" w:cs="Georgia"/>
          <w:lang w:val="es-ES"/>
        </w:rPr>
        <w:t xml:space="preserve"> de euros</w:t>
      </w:r>
      <w:r w:rsidR="002D5F54">
        <w:rPr>
          <w:rFonts w:ascii="Calibri" w:hAnsi="Calibri" w:cs="Georgia"/>
          <w:lang w:val="es-ES"/>
        </w:rPr>
        <w:t xml:space="preserve"> para el año 2012</w:t>
      </w:r>
      <w:r w:rsidR="00A04A47">
        <w:rPr>
          <w:rFonts w:ascii="Calibri" w:hAnsi="Calibri" w:cs="Georgia"/>
          <w:lang w:val="es-ES"/>
        </w:rPr>
        <w:t>, afectando principalmente a la retribución de las empresas de transporte y distribución</w:t>
      </w:r>
      <w:r w:rsidR="002D5F54">
        <w:rPr>
          <w:rFonts w:ascii="Calibri" w:hAnsi="Calibri" w:cs="Georgia"/>
          <w:lang w:val="es-ES"/>
        </w:rPr>
        <w:t xml:space="preserve">. </w:t>
      </w:r>
    </w:p>
    <w:p w:rsidR="0036135B" w:rsidRDefault="0036135B" w:rsidP="0036135B">
      <w:pPr>
        <w:spacing w:after="180"/>
        <w:jc w:val="both"/>
        <w:rPr>
          <w:rFonts w:ascii="Calibri" w:hAnsi="Calibri" w:cs="Georgia"/>
          <w:lang w:val="es-ES"/>
        </w:rPr>
      </w:pPr>
      <w:r>
        <w:rPr>
          <w:rFonts w:ascii="Calibri" w:hAnsi="Calibri" w:cs="Georgia"/>
          <w:lang w:val="es-ES"/>
        </w:rPr>
        <w:lastRenderedPageBreak/>
        <w:t>La necesidad del cumplimiento del principio de suficiencia de ingresos obtenidos para cubrir los costes del sistema eléctrico a partir del 1 de enero de 2013</w:t>
      </w:r>
      <w:r w:rsidR="00A04A47">
        <w:rPr>
          <w:rFonts w:ascii="Calibri" w:hAnsi="Calibri" w:cs="Georgia"/>
          <w:lang w:val="es-ES"/>
        </w:rPr>
        <w:t>,</w:t>
      </w:r>
      <w:r>
        <w:rPr>
          <w:rFonts w:ascii="Calibri" w:hAnsi="Calibri" w:cs="Georgia"/>
          <w:lang w:val="es-ES"/>
        </w:rPr>
        <w:t xml:space="preserve"> en la que inciden recientes sentencias del Tribunal Supremo, ha implicado que se hayan tenido que tomar medidas adicionales urgentes.</w:t>
      </w:r>
    </w:p>
    <w:p w:rsidR="0036135B" w:rsidRDefault="0036135B" w:rsidP="0036135B">
      <w:pPr>
        <w:spacing w:after="180"/>
        <w:jc w:val="both"/>
        <w:rPr>
          <w:rFonts w:ascii="Calibri" w:hAnsi="Calibri" w:cs="Georgia"/>
          <w:lang w:val="es-ES"/>
        </w:rPr>
      </w:pPr>
      <w:r>
        <w:rPr>
          <w:rFonts w:ascii="Calibri" w:hAnsi="Calibri" w:cs="Georgia"/>
          <w:lang w:val="es-ES"/>
        </w:rPr>
        <w:t xml:space="preserve">Con la aprobación del </w:t>
      </w:r>
      <w:r w:rsidR="00E00EBC">
        <w:rPr>
          <w:rFonts w:ascii="Calibri" w:hAnsi="Calibri" w:cs="Georgia"/>
          <w:lang w:val="es-ES"/>
        </w:rPr>
        <w:t xml:space="preserve">nuevo </w:t>
      </w:r>
      <w:r>
        <w:rPr>
          <w:rFonts w:ascii="Calibri" w:hAnsi="Calibri" w:cs="Georgia"/>
          <w:lang w:val="es-ES"/>
        </w:rPr>
        <w:t>Real Decreto-ley 20/2012 se introduce una</w:t>
      </w:r>
      <w:r w:rsidR="00E00EBC">
        <w:rPr>
          <w:rFonts w:ascii="Calibri" w:hAnsi="Calibri" w:cs="Georgia"/>
          <w:lang w:val="es-ES"/>
        </w:rPr>
        <w:t xml:space="preserve"> nueva</w:t>
      </w:r>
      <w:r>
        <w:rPr>
          <w:rFonts w:ascii="Calibri" w:hAnsi="Calibri" w:cs="Georgia"/>
          <w:lang w:val="es-ES"/>
        </w:rPr>
        <w:t xml:space="preserve"> serie de reformas en el sector y una serie de ajustes económicos.</w:t>
      </w:r>
    </w:p>
    <w:p w:rsidR="0036135B" w:rsidRDefault="0036135B" w:rsidP="0036135B">
      <w:pPr>
        <w:spacing w:after="180"/>
        <w:jc w:val="both"/>
        <w:rPr>
          <w:rFonts w:ascii="Calibri" w:hAnsi="Calibri" w:cs="Georgia"/>
          <w:lang w:val="es-ES"/>
        </w:rPr>
      </w:pPr>
      <w:r>
        <w:rPr>
          <w:rFonts w:ascii="Calibri" w:hAnsi="Calibri" w:cs="Georgia"/>
          <w:lang w:val="es-ES"/>
        </w:rPr>
        <w:t xml:space="preserve">Así, </w:t>
      </w:r>
      <w:r w:rsidR="00A04A47">
        <w:rPr>
          <w:rFonts w:ascii="Calibri" w:hAnsi="Calibri" w:cs="Georgia"/>
          <w:lang w:val="es-ES"/>
        </w:rPr>
        <w:t xml:space="preserve">se </w:t>
      </w:r>
      <w:r>
        <w:rPr>
          <w:rFonts w:ascii="Calibri" w:hAnsi="Calibri" w:cs="Georgia"/>
          <w:lang w:val="es-ES"/>
        </w:rPr>
        <w:t xml:space="preserve">establece que </w:t>
      </w:r>
      <w:r w:rsidR="00104E3E">
        <w:rPr>
          <w:rFonts w:ascii="Calibri" w:hAnsi="Calibri" w:cs="Georgia"/>
          <w:lang w:val="es-ES"/>
        </w:rPr>
        <w:t>los</w:t>
      </w:r>
      <w:r>
        <w:rPr>
          <w:rFonts w:ascii="Calibri" w:hAnsi="Calibri" w:cs="Georgia"/>
          <w:lang w:val="es-ES"/>
        </w:rPr>
        <w:t xml:space="preserve"> costes fijos y variables de las centrales de generación en </w:t>
      </w:r>
      <w:r w:rsidR="008342B4">
        <w:rPr>
          <w:rFonts w:ascii="Calibri" w:hAnsi="Calibri" w:cs="Georgia"/>
          <w:lang w:val="es-ES"/>
        </w:rPr>
        <w:t>R</w:t>
      </w:r>
      <w:r>
        <w:rPr>
          <w:rFonts w:ascii="Calibri" w:hAnsi="Calibri" w:cs="Georgia"/>
          <w:lang w:val="es-ES"/>
        </w:rPr>
        <w:t xml:space="preserve">égimen </w:t>
      </w:r>
      <w:r w:rsidR="008342B4">
        <w:rPr>
          <w:rFonts w:ascii="Calibri" w:hAnsi="Calibri" w:cs="Georgia"/>
          <w:lang w:val="es-ES"/>
        </w:rPr>
        <w:t>O</w:t>
      </w:r>
      <w:r>
        <w:rPr>
          <w:rFonts w:ascii="Calibri" w:hAnsi="Calibri" w:cs="Georgia"/>
          <w:lang w:val="es-ES"/>
        </w:rPr>
        <w:t xml:space="preserve">rdinario que se produzcan en los </w:t>
      </w:r>
      <w:r w:rsidR="008E3F0E" w:rsidRPr="008E3F0E">
        <w:rPr>
          <w:rFonts w:ascii="Calibri" w:hAnsi="Calibri" w:cs="Georgia"/>
          <w:b/>
          <w:lang w:val="es-ES"/>
        </w:rPr>
        <w:t>sistemas insulares y extrapeninsulares</w:t>
      </w:r>
      <w:r>
        <w:rPr>
          <w:rFonts w:ascii="Calibri" w:hAnsi="Calibri" w:cs="Georgia"/>
          <w:lang w:val="es-ES"/>
        </w:rPr>
        <w:t xml:space="preserve"> que resulten de la aplicación de las revisiones establecidas en el R</w:t>
      </w:r>
      <w:r w:rsidR="00A04A47">
        <w:rPr>
          <w:rFonts w:ascii="Calibri" w:hAnsi="Calibri" w:cs="Georgia"/>
          <w:lang w:val="es-ES"/>
        </w:rPr>
        <w:t xml:space="preserve">eal </w:t>
      </w:r>
      <w:r>
        <w:rPr>
          <w:rFonts w:ascii="Calibri" w:hAnsi="Calibri" w:cs="Georgia"/>
          <w:lang w:val="es-ES"/>
        </w:rPr>
        <w:t>D</w:t>
      </w:r>
      <w:r w:rsidR="00A04A47">
        <w:rPr>
          <w:rFonts w:ascii="Calibri" w:hAnsi="Calibri" w:cs="Georgia"/>
          <w:lang w:val="es-ES"/>
        </w:rPr>
        <w:t>ecreto</w:t>
      </w:r>
      <w:r>
        <w:rPr>
          <w:rFonts w:ascii="Calibri" w:hAnsi="Calibri" w:cs="Georgia"/>
          <w:lang w:val="es-ES"/>
        </w:rPr>
        <w:t>-l</w:t>
      </w:r>
      <w:r w:rsidR="00A04A47">
        <w:rPr>
          <w:rFonts w:ascii="Calibri" w:hAnsi="Calibri" w:cs="Georgia"/>
          <w:lang w:val="es-ES"/>
        </w:rPr>
        <w:t>ey</w:t>
      </w:r>
      <w:r>
        <w:rPr>
          <w:rFonts w:ascii="Calibri" w:hAnsi="Calibri" w:cs="Georgia"/>
          <w:lang w:val="es-ES"/>
        </w:rPr>
        <w:t xml:space="preserve"> 13/2012 serán de aplicación a partir del 1 de enero de 2012. Ad</w:t>
      </w:r>
      <w:r w:rsidR="00104E3E">
        <w:rPr>
          <w:rFonts w:ascii="Calibri" w:hAnsi="Calibri" w:cs="Georgia"/>
          <w:lang w:val="es-ES"/>
        </w:rPr>
        <w:t>icionalmente a las revisiones del modelo retributivo, se establecen las siguientes medidas a aplicar también desde el 1 de enero de 2012:</w:t>
      </w:r>
    </w:p>
    <w:p w:rsidR="0031207F" w:rsidRDefault="0036135B">
      <w:pPr>
        <w:jc w:val="both"/>
        <w:rPr>
          <w:rFonts w:ascii="Calibri" w:hAnsi="Calibri" w:cs="Georgia"/>
          <w:lang w:val="es-ES"/>
        </w:rPr>
      </w:pPr>
      <w:r>
        <w:rPr>
          <w:rFonts w:ascii="Calibri" w:hAnsi="Calibri" w:cs="Georgia"/>
          <w:lang w:val="es-ES"/>
        </w:rPr>
        <w:t>- Se elimina la retribución de los gastos de naturaleza recurrente incluidos en el cálculo de la garantía de potencia</w:t>
      </w:r>
    </w:p>
    <w:p w:rsidR="0031207F" w:rsidRDefault="0036135B">
      <w:pPr>
        <w:jc w:val="both"/>
        <w:rPr>
          <w:rFonts w:ascii="Calibri" w:hAnsi="Calibri" w:cs="Georgia"/>
          <w:lang w:val="es-ES"/>
        </w:rPr>
      </w:pPr>
      <w:r>
        <w:rPr>
          <w:rFonts w:ascii="Calibri" w:hAnsi="Calibri" w:cs="Georgia"/>
          <w:lang w:val="es-ES"/>
        </w:rPr>
        <w:t>- Se revisa la tasa para el cálculo de la retribución financiera de la inversión</w:t>
      </w:r>
      <w:r w:rsidR="00A04A47">
        <w:rPr>
          <w:rFonts w:ascii="Calibri" w:hAnsi="Calibri" w:cs="Georgia"/>
          <w:lang w:val="es-ES"/>
        </w:rPr>
        <w:t>,</w:t>
      </w:r>
      <w:r>
        <w:rPr>
          <w:rFonts w:ascii="Calibri" w:hAnsi="Calibri" w:cs="Georgia"/>
          <w:lang w:val="es-ES"/>
        </w:rPr>
        <w:t xml:space="preserve"> que se corresponderá con el valor de los Bonos del Estado a 10 años más 200 puntos básicos, en lugar de los 300 puntos anteriores.</w:t>
      </w:r>
    </w:p>
    <w:p w:rsidR="0036135B" w:rsidRDefault="0036135B" w:rsidP="0036135B">
      <w:pPr>
        <w:spacing w:after="180"/>
        <w:jc w:val="both"/>
        <w:rPr>
          <w:rFonts w:ascii="Calibri" w:hAnsi="Calibri" w:cs="Georgia"/>
          <w:lang w:val="es-ES"/>
        </w:rPr>
      </w:pPr>
      <w:r>
        <w:rPr>
          <w:rFonts w:ascii="Calibri" w:hAnsi="Calibri" w:cs="Georgia"/>
          <w:lang w:val="es-ES"/>
        </w:rPr>
        <w:t xml:space="preserve">- Se reducen un 10% los valores unitarios de los </w:t>
      </w:r>
      <w:r w:rsidR="00A04A47">
        <w:rPr>
          <w:rFonts w:ascii="Calibri" w:hAnsi="Calibri" w:cs="Georgia"/>
          <w:lang w:val="es-ES"/>
        </w:rPr>
        <w:t xml:space="preserve">costes reconocidos </w:t>
      </w:r>
      <w:r>
        <w:rPr>
          <w:rFonts w:ascii="Calibri" w:hAnsi="Calibri" w:cs="Georgia"/>
          <w:lang w:val="es-ES"/>
        </w:rPr>
        <w:t>de operación y mantenimiento fijos.</w:t>
      </w:r>
    </w:p>
    <w:p w:rsidR="0036135B" w:rsidRDefault="00A04A47" w:rsidP="0036135B">
      <w:pPr>
        <w:spacing w:after="180"/>
        <w:jc w:val="both"/>
        <w:rPr>
          <w:rFonts w:ascii="Calibri" w:hAnsi="Calibri" w:cs="Georgia"/>
          <w:lang w:val="es-ES"/>
        </w:rPr>
      </w:pPr>
      <w:r>
        <w:rPr>
          <w:rFonts w:ascii="Calibri" w:hAnsi="Calibri" w:cs="Georgia"/>
          <w:lang w:val="es-ES"/>
        </w:rPr>
        <w:t>Por otra parte</w:t>
      </w:r>
      <w:r w:rsidR="0036135B">
        <w:rPr>
          <w:rFonts w:ascii="Calibri" w:hAnsi="Calibri" w:cs="Georgia"/>
          <w:lang w:val="es-ES"/>
        </w:rPr>
        <w:t xml:space="preserve">, se modifica la </w:t>
      </w:r>
      <w:r>
        <w:rPr>
          <w:rFonts w:ascii="Calibri" w:hAnsi="Calibri" w:cs="Georgia"/>
          <w:lang w:val="es-ES"/>
        </w:rPr>
        <w:t>L</w:t>
      </w:r>
      <w:r w:rsidR="0036135B">
        <w:rPr>
          <w:rFonts w:ascii="Calibri" w:hAnsi="Calibri" w:cs="Georgia"/>
          <w:lang w:val="es-ES"/>
        </w:rPr>
        <w:t>ey del Sector Eléctrico para que</w:t>
      </w:r>
      <w:r>
        <w:rPr>
          <w:rFonts w:ascii="Calibri" w:hAnsi="Calibri" w:cs="Georgia"/>
          <w:lang w:val="es-ES"/>
        </w:rPr>
        <w:t>,</w:t>
      </w:r>
      <w:r w:rsidR="0036135B">
        <w:rPr>
          <w:rFonts w:ascii="Calibri" w:hAnsi="Calibri" w:cs="Georgia"/>
          <w:lang w:val="es-ES"/>
        </w:rPr>
        <w:t xml:space="preserve"> en el caso de que las actividades o instalaciones destinadas al suministro eléctrico sean gravadas, directa o indirectamente, con tributos autonómicos</w:t>
      </w:r>
      <w:r w:rsidR="002605BA">
        <w:rPr>
          <w:rFonts w:ascii="Calibri" w:hAnsi="Calibri" w:cs="Georgia"/>
          <w:lang w:val="es-ES"/>
        </w:rPr>
        <w:t xml:space="preserve"> o </w:t>
      </w:r>
      <w:r w:rsidR="002605BA" w:rsidRPr="002605BA">
        <w:rPr>
          <w:rFonts w:ascii="Calibri" w:hAnsi="Calibri" w:cs="Georgia"/>
          <w:lang w:val="es-ES"/>
        </w:rPr>
        <w:t>recargos sobre los tributos estatales</w:t>
      </w:r>
      <w:r w:rsidR="0036135B">
        <w:rPr>
          <w:rFonts w:ascii="Calibri" w:hAnsi="Calibri" w:cs="Georgia"/>
          <w:lang w:val="es-ES"/>
        </w:rPr>
        <w:t xml:space="preserve">, </w:t>
      </w:r>
      <w:r w:rsidR="0014203E" w:rsidRPr="0014203E">
        <w:rPr>
          <w:rFonts w:ascii="Calibri" w:hAnsi="Calibri" w:cs="Georgia"/>
          <w:lang w:val="es-ES"/>
        </w:rPr>
        <w:t xml:space="preserve">la obligatoriedad de imponer </w:t>
      </w:r>
      <w:r w:rsidR="0036135B">
        <w:rPr>
          <w:rFonts w:ascii="Calibri" w:hAnsi="Calibri" w:cs="Georgia"/>
          <w:lang w:val="es-ES"/>
        </w:rPr>
        <w:t xml:space="preserve">a los peajes de acceso y a las </w:t>
      </w:r>
      <w:r w:rsidR="0014203E" w:rsidRPr="0014203E">
        <w:rPr>
          <w:rFonts w:ascii="Calibri" w:hAnsi="Calibri" w:cs="Georgia"/>
          <w:lang w:val="es-ES"/>
        </w:rPr>
        <w:t>tarifas de último recurso</w:t>
      </w:r>
      <w:r w:rsidR="0014203E" w:rsidRPr="0014203E" w:rsidDel="0014203E">
        <w:rPr>
          <w:rFonts w:ascii="Calibri" w:hAnsi="Calibri" w:cs="Georgia"/>
          <w:lang w:val="es-ES"/>
        </w:rPr>
        <w:t xml:space="preserve"> </w:t>
      </w:r>
      <w:r w:rsidR="0036135B">
        <w:rPr>
          <w:rFonts w:ascii="Calibri" w:hAnsi="Calibri" w:cs="Georgia"/>
          <w:lang w:val="es-ES"/>
        </w:rPr>
        <w:t xml:space="preserve">un </w:t>
      </w:r>
      <w:r w:rsidR="008E3F0E" w:rsidRPr="008E3F0E">
        <w:rPr>
          <w:rFonts w:ascii="Calibri" w:hAnsi="Calibri" w:cs="Georgia"/>
          <w:b/>
          <w:lang w:val="es-ES"/>
        </w:rPr>
        <w:t>suplemento territorial</w:t>
      </w:r>
      <w:r w:rsidR="0036135B">
        <w:rPr>
          <w:rFonts w:ascii="Calibri" w:hAnsi="Calibri" w:cs="Georgia"/>
          <w:lang w:val="es-ES"/>
        </w:rPr>
        <w:t xml:space="preserve"> que cubrirá la totalidad del sobrecoste provocado por estos tributos y que debe ser abonado por los consumidores ubicados en el ámbito territorial de la respectiva Comunidad Autónoma.</w:t>
      </w:r>
      <w:r>
        <w:rPr>
          <w:rFonts w:ascii="Calibri" w:hAnsi="Calibri" w:cs="Georgia"/>
          <w:lang w:val="es-ES"/>
        </w:rPr>
        <w:t xml:space="preserve"> En este sentido, se habilita</w:t>
      </w:r>
      <w:r w:rsidR="00135580">
        <w:rPr>
          <w:rFonts w:ascii="Calibri" w:hAnsi="Calibri" w:cs="Georgia"/>
          <w:lang w:val="es-ES"/>
        </w:rPr>
        <w:t xml:space="preserve"> al Ministerio de Industria, Energía y Turismo a determinar, previo Acuerdo de la Comisión Delegada del Gobierno para Asuntos Económicos, los concretos tributos y recargos que serán considerados a la hora de la aplicación de este suplemento territorial a los peajes de acceso y tarifas de último recurso, así como los mecanismos necesarios para su gestión y liquidación.</w:t>
      </w:r>
    </w:p>
    <w:p w:rsidR="0036135B" w:rsidRDefault="0036135B" w:rsidP="0036135B">
      <w:pPr>
        <w:spacing w:after="180"/>
        <w:jc w:val="both"/>
        <w:rPr>
          <w:rFonts w:ascii="Calibri" w:hAnsi="Calibri" w:cs="Georgia"/>
          <w:lang w:val="es-ES"/>
        </w:rPr>
      </w:pPr>
      <w:r>
        <w:rPr>
          <w:rFonts w:ascii="Calibri" w:hAnsi="Calibri" w:cs="Georgia"/>
          <w:lang w:val="es-ES"/>
        </w:rPr>
        <w:t xml:space="preserve">En cuanto a la </w:t>
      </w:r>
      <w:r w:rsidR="008E3F0E" w:rsidRPr="008E3F0E">
        <w:rPr>
          <w:rFonts w:ascii="Calibri" w:hAnsi="Calibri" w:cs="Georgia"/>
          <w:b/>
          <w:lang w:val="es-ES"/>
        </w:rPr>
        <w:t>actividad de transporte</w:t>
      </w:r>
      <w:r>
        <w:rPr>
          <w:rFonts w:ascii="Calibri" w:hAnsi="Calibri" w:cs="Georgia"/>
          <w:lang w:val="es-ES"/>
        </w:rPr>
        <w:t xml:space="preserve">, su retribución se reduce un 3,15% adicional respecto a la </w:t>
      </w:r>
      <w:r w:rsidR="00A04A47">
        <w:rPr>
          <w:rFonts w:ascii="Calibri" w:hAnsi="Calibri" w:cs="Georgia"/>
          <w:lang w:val="es-ES"/>
        </w:rPr>
        <w:t xml:space="preserve">establecida en </w:t>
      </w:r>
      <w:r>
        <w:rPr>
          <w:rFonts w:ascii="Calibri" w:hAnsi="Calibri" w:cs="Georgia"/>
          <w:lang w:val="es-ES"/>
        </w:rPr>
        <w:t>el R</w:t>
      </w:r>
      <w:r w:rsidR="00A04A47">
        <w:rPr>
          <w:rFonts w:ascii="Calibri" w:hAnsi="Calibri" w:cs="Georgia"/>
          <w:lang w:val="es-ES"/>
        </w:rPr>
        <w:t xml:space="preserve">eal </w:t>
      </w:r>
      <w:r>
        <w:rPr>
          <w:rFonts w:ascii="Calibri" w:hAnsi="Calibri" w:cs="Georgia"/>
          <w:lang w:val="es-ES"/>
        </w:rPr>
        <w:t>D</w:t>
      </w:r>
      <w:r w:rsidR="00A04A47">
        <w:rPr>
          <w:rFonts w:ascii="Calibri" w:hAnsi="Calibri" w:cs="Georgia"/>
          <w:lang w:val="es-ES"/>
        </w:rPr>
        <w:t>ecreto</w:t>
      </w:r>
      <w:r>
        <w:rPr>
          <w:rFonts w:ascii="Calibri" w:hAnsi="Calibri" w:cs="Georgia"/>
          <w:lang w:val="es-ES"/>
        </w:rPr>
        <w:t>-l</w:t>
      </w:r>
      <w:r w:rsidR="00A04A47">
        <w:rPr>
          <w:rFonts w:ascii="Calibri" w:hAnsi="Calibri" w:cs="Georgia"/>
          <w:lang w:val="es-ES"/>
        </w:rPr>
        <w:t>ey</w:t>
      </w:r>
      <w:r>
        <w:rPr>
          <w:rFonts w:ascii="Calibri" w:hAnsi="Calibri" w:cs="Georgia"/>
          <w:lang w:val="es-ES"/>
        </w:rPr>
        <w:t xml:space="preserve"> 13/2012 como consecuencia de cambio de criterio en la retribución a la inversión, que se hará para aquellos activos en servicio no amortizados tomando como base para su retribución financiera </w:t>
      </w:r>
      <w:r w:rsidR="002605BA">
        <w:rPr>
          <w:rFonts w:ascii="Calibri" w:hAnsi="Calibri" w:cs="Georgia"/>
          <w:lang w:val="es-ES"/>
        </w:rPr>
        <w:t xml:space="preserve">su </w:t>
      </w:r>
      <w:r>
        <w:rPr>
          <w:rFonts w:ascii="Calibri" w:hAnsi="Calibri" w:cs="Georgia"/>
          <w:lang w:val="es-ES"/>
        </w:rPr>
        <w:t>valor neto.</w:t>
      </w:r>
    </w:p>
    <w:p w:rsidR="0036135B" w:rsidRDefault="0036135B" w:rsidP="0036135B">
      <w:pPr>
        <w:spacing w:after="180"/>
        <w:jc w:val="both"/>
        <w:rPr>
          <w:rFonts w:ascii="Calibri" w:hAnsi="Calibri" w:cs="Georgia"/>
          <w:lang w:val="es-ES"/>
        </w:rPr>
      </w:pPr>
      <w:r>
        <w:rPr>
          <w:rFonts w:ascii="Calibri" w:hAnsi="Calibri" w:cs="Georgia"/>
          <w:lang w:val="es-ES"/>
        </w:rPr>
        <w:t xml:space="preserve">Por otro lado, se modifica el </w:t>
      </w:r>
      <w:r w:rsidR="008E3F0E" w:rsidRPr="008E3F0E">
        <w:rPr>
          <w:rFonts w:ascii="Calibri" w:hAnsi="Calibri" w:cs="Georgia"/>
          <w:b/>
          <w:lang w:val="es-ES"/>
        </w:rPr>
        <w:t>tipo de interés a aplicar al importe pendiente de pago del déficit de ingresos generado en el año 2006</w:t>
      </w:r>
      <w:r>
        <w:rPr>
          <w:rFonts w:ascii="Calibri" w:hAnsi="Calibri" w:cs="Georgia"/>
          <w:lang w:val="es-ES"/>
        </w:rPr>
        <w:t>, siendo éste el EURIBOR a tres meses de la media de las cotizaciones del mes de noviembre del año anterior más un diferencial de 65 puntos básicos. Este diferencial será de aplicación para el déficit del año 2006 y tendrá la consideración de coste liquidable del sistema.</w:t>
      </w:r>
    </w:p>
    <w:p w:rsidR="0036135B" w:rsidRDefault="002605BA" w:rsidP="0036135B">
      <w:pPr>
        <w:spacing w:after="180"/>
        <w:jc w:val="both"/>
        <w:rPr>
          <w:rFonts w:ascii="Calibri" w:hAnsi="Calibri" w:cs="Georgia"/>
          <w:lang w:val="es-ES"/>
        </w:rPr>
      </w:pPr>
      <w:r>
        <w:rPr>
          <w:rFonts w:ascii="Calibri" w:hAnsi="Calibri" w:cs="Georgia"/>
          <w:lang w:val="es-ES"/>
        </w:rPr>
        <w:lastRenderedPageBreak/>
        <w:t xml:space="preserve">También se </w:t>
      </w:r>
      <w:r w:rsidR="0036135B">
        <w:rPr>
          <w:rFonts w:ascii="Calibri" w:hAnsi="Calibri" w:cs="Georgia"/>
          <w:lang w:val="es-ES"/>
        </w:rPr>
        <w:t>modifica</w:t>
      </w:r>
      <w:r>
        <w:rPr>
          <w:rFonts w:ascii="Calibri" w:hAnsi="Calibri" w:cs="Georgia"/>
          <w:lang w:val="es-ES"/>
        </w:rPr>
        <w:t>n</w:t>
      </w:r>
      <w:r w:rsidR="0036135B">
        <w:rPr>
          <w:rFonts w:ascii="Calibri" w:hAnsi="Calibri" w:cs="Georgia"/>
          <w:lang w:val="es-ES"/>
        </w:rPr>
        <w:t xml:space="preserve"> los </w:t>
      </w:r>
      <w:r w:rsidR="008E3F0E" w:rsidRPr="008E3F0E">
        <w:rPr>
          <w:rFonts w:ascii="Calibri" w:hAnsi="Calibri" w:cs="Georgia"/>
          <w:b/>
          <w:lang w:val="es-ES"/>
        </w:rPr>
        <w:t>fines y funciones del Instituto para la Diversificación y Ahorro de la Energía</w:t>
      </w:r>
      <w:r w:rsidR="0036135B">
        <w:rPr>
          <w:rFonts w:ascii="Calibri" w:hAnsi="Calibri" w:cs="Georgia"/>
          <w:lang w:val="es-ES"/>
        </w:rPr>
        <w:t xml:space="preserve"> (</w:t>
      </w:r>
      <w:hyperlink r:id="rId11" w:history="1">
        <w:r w:rsidR="005E062B" w:rsidRPr="005E062B">
          <w:rPr>
            <w:rStyle w:val="Hipervnculo"/>
            <w:rFonts w:ascii="Calibri" w:hAnsi="Calibri" w:cs="Georgia"/>
            <w:lang w:val="es-ES"/>
          </w:rPr>
          <w:t>IDAE</w:t>
        </w:r>
      </w:hyperlink>
      <w:r w:rsidR="0036135B">
        <w:rPr>
          <w:rFonts w:ascii="Calibri" w:hAnsi="Calibri" w:cs="Georgia"/>
          <w:lang w:val="es-ES"/>
        </w:rPr>
        <w:t>)</w:t>
      </w:r>
      <w:r>
        <w:rPr>
          <w:rFonts w:ascii="Calibri" w:hAnsi="Calibri" w:cs="Georgia"/>
          <w:lang w:val="es-ES"/>
        </w:rPr>
        <w:t>, dotándole de</w:t>
      </w:r>
      <w:r w:rsidR="0036135B">
        <w:rPr>
          <w:rFonts w:ascii="Calibri" w:hAnsi="Calibri" w:cs="Georgia"/>
          <w:lang w:val="es-ES"/>
        </w:rPr>
        <w:t xml:space="preserve"> la condición de medio propio instrumental y servicio técnico de la </w:t>
      </w:r>
      <w:r w:rsidR="002978D3">
        <w:rPr>
          <w:rFonts w:ascii="Calibri" w:hAnsi="Calibri" w:cs="Georgia"/>
          <w:lang w:val="es-ES"/>
        </w:rPr>
        <w:t>A</w:t>
      </w:r>
      <w:r w:rsidR="0036135B">
        <w:rPr>
          <w:rFonts w:ascii="Calibri" w:hAnsi="Calibri" w:cs="Georgia"/>
          <w:lang w:val="es-ES"/>
        </w:rPr>
        <w:t>dministración para la realización de cuantos trabajos se le encomienden por la Administración General del Estado y se configura como un organismo de promoción de la conservación, diversificación, ahorro y eficiencia energética.</w:t>
      </w:r>
    </w:p>
    <w:p w:rsidR="0036135B" w:rsidRDefault="0036135B" w:rsidP="0036135B">
      <w:pPr>
        <w:spacing w:after="180"/>
        <w:jc w:val="both"/>
        <w:rPr>
          <w:rFonts w:ascii="Calibri" w:hAnsi="Calibri" w:cs="Georgia"/>
          <w:lang w:val="es-ES"/>
        </w:rPr>
      </w:pPr>
      <w:r>
        <w:rPr>
          <w:rFonts w:ascii="Calibri" w:hAnsi="Calibri" w:cs="Georgia"/>
          <w:lang w:val="es-ES"/>
        </w:rPr>
        <w:t xml:space="preserve">Además, se habilita al Ministerio de Industria, Energía y Turismo a aplicar criterios de </w:t>
      </w:r>
      <w:r w:rsidR="008E3F0E" w:rsidRPr="008E3F0E">
        <w:rPr>
          <w:rFonts w:ascii="Calibri" w:hAnsi="Calibri" w:cs="Georgia"/>
          <w:b/>
          <w:lang w:val="es-ES"/>
        </w:rPr>
        <w:t>progresividad a los peajes de acceso</w:t>
      </w:r>
      <w:r>
        <w:rPr>
          <w:rFonts w:ascii="Calibri" w:hAnsi="Calibri" w:cs="Georgia"/>
          <w:lang w:val="es-ES"/>
        </w:rPr>
        <w:t xml:space="preserve">. En la determinación de </w:t>
      </w:r>
      <w:r w:rsidR="004B677B">
        <w:rPr>
          <w:rFonts w:ascii="Calibri" w:hAnsi="Calibri" w:cs="Georgia"/>
          <w:lang w:val="es-ES"/>
        </w:rPr>
        <w:t>é</w:t>
      </w:r>
      <w:r>
        <w:rPr>
          <w:rFonts w:ascii="Calibri" w:hAnsi="Calibri" w:cs="Georgia"/>
          <w:lang w:val="es-ES"/>
        </w:rPr>
        <w:t>stos se tendrá en cuenta el consumo medio de los puntos de suministro, sin que se vean afectados los consumidores vulnerables. Con esta medida se pretende dar una señal de precio energético a los consumidores, con el fin de que se traduzca en una mejora en el ahorro energético y en la eficiencia en el consumo.</w:t>
      </w:r>
    </w:p>
    <w:p w:rsidR="0036135B" w:rsidRDefault="0036135B" w:rsidP="0036135B">
      <w:pPr>
        <w:spacing w:after="180"/>
        <w:jc w:val="both"/>
        <w:rPr>
          <w:rFonts w:ascii="Calibri" w:hAnsi="Calibri" w:cs="Georgia"/>
          <w:lang w:val="es-ES"/>
        </w:rPr>
      </w:pPr>
      <w:r>
        <w:rPr>
          <w:rFonts w:ascii="Calibri" w:hAnsi="Calibri" w:cs="Georgia"/>
          <w:lang w:val="es-ES"/>
        </w:rPr>
        <w:t xml:space="preserve">Por último, </w:t>
      </w:r>
      <w:r w:rsidR="008E3F0E" w:rsidRPr="008E3F0E">
        <w:rPr>
          <w:rFonts w:ascii="Calibri" w:hAnsi="Calibri" w:cs="Georgia"/>
          <w:b/>
          <w:lang w:val="es-ES"/>
        </w:rPr>
        <w:t>se elimina la revisión trimestral de peajes de acceso</w:t>
      </w:r>
      <w:r>
        <w:rPr>
          <w:rFonts w:ascii="Calibri" w:hAnsi="Calibri" w:cs="Georgia"/>
          <w:lang w:val="es-ES"/>
        </w:rPr>
        <w:t>, para evitar que los consumidores se vean sometidos a nuevas revisiones que hubieran resultado innecesarias después de que las medidas adoptadas hayan desplegado su plena eficacia.</w:t>
      </w:r>
    </w:p>
    <w:p w:rsidR="0036135B" w:rsidRPr="00471B29" w:rsidRDefault="0036135B" w:rsidP="0036135B">
      <w:pPr>
        <w:spacing w:after="180"/>
        <w:jc w:val="both"/>
        <w:rPr>
          <w:rFonts w:ascii="Calibri" w:hAnsi="Calibri" w:cs="Georgia"/>
          <w:i/>
          <w:lang w:val="es-ES"/>
        </w:rPr>
      </w:pPr>
      <w:r>
        <w:rPr>
          <w:rFonts w:ascii="Calibri" w:hAnsi="Calibri" w:cs="Georgia"/>
          <w:i/>
          <w:lang w:val="es-ES"/>
        </w:rPr>
        <w:t>El R</w:t>
      </w:r>
      <w:r w:rsidR="0014203E">
        <w:rPr>
          <w:rFonts w:ascii="Calibri" w:hAnsi="Calibri" w:cs="Georgia"/>
          <w:i/>
          <w:lang w:val="es-ES"/>
        </w:rPr>
        <w:t xml:space="preserve">eal </w:t>
      </w:r>
      <w:r>
        <w:rPr>
          <w:rFonts w:ascii="Calibri" w:hAnsi="Calibri" w:cs="Georgia"/>
          <w:i/>
          <w:lang w:val="es-ES"/>
        </w:rPr>
        <w:t>D</w:t>
      </w:r>
      <w:r w:rsidR="0014203E">
        <w:rPr>
          <w:rFonts w:ascii="Calibri" w:hAnsi="Calibri" w:cs="Georgia"/>
          <w:i/>
          <w:lang w:val="es-ES"/>
        </w:rPr>
        <w:t>ecreto-ley</w:t>
      </w:r>
      <w:r>
        <w:rPr>
          <w:rFonts w:ascii="Calibri" w:hAnsi="Calibri" w:cs="Georgia"/>
          <w:i/>
          <w:lang w:val="es-ES"/>
        </w:rPr>
        <w:t xml:space="preserve"> 20/2012 continúa profundizando en los cambios que está llevando a cabo el gobierno desde el inicio del año 2012 para tratar de resolver el déficit </w:t>
      </w:r>
      <w:r w:rsidR="0014203E">
        <w:rPr>
          <w:rFonts w:ascii="Calibri" w:hAnsi="Calibri" w:cs="Georgia"/>
          <w:i/>
          <w:lang w:val="es-ES"/>
        </w:rPr>
        <w:t xml:space="preserve">de tarifa en el sector </w:t>
      </w:r>
      <w:r>
        <w:rPr>
          <w:rFonts w:ascii="Calibri" w:hAnsi="Calibri" w:cs="Georgia"/>
          <w:i/>
          <w:lang w:val="es-ES"/>
        </w:rPr>
        <w:t xml:space="preserve">eléctrico. </w:t>
      </w:r>
      <w:r w:rsidR="0014203E">
        <w:rPr>
          <w:rFonts w:ascii="Calibri" w:hAnsi="Calibri" w:cs="Georgia"/>
          <w:i/>
          <w:lang w:val="es-ES"/>
        </w:rPr>
        <w:t>Sin embargo, sigue siendo</w:t>
      </w:r>
      <w:r w:rsidR="005C250B">
        <w:rPr>
          <w:rFonts w:ascii="Calibri" w:hAnsi="Calibri" w:cs="Georgia"/>
          <w:i/>
          <w:lang w:val="es-ES"/>
        </w:rPr>
        <w:t xml:space="preserve"> necesario adoptar</w:t>
      </w:r>
      <w:r w:rsidR="00B56F8E">
        <w:rPr>
          <w:rFonts w:ascii="Calibri" w:hAnsi="Calibri" w:cs="Georgia"/>
          <w:i/>
          <w:lang w:val="es-ES"/>
        </w:rPr>
        <w:t xml:space="preserve"> nuevas</w:t>
      </w:r>
      <w:r w:rsidR="0014203E">
        <w:rPr>
          <w:rFonts w:ascii="Calibri" w:hAnsi="Calibri" w:cs="Georgia"/>
          <w:i/>
          <w:lang w:val="es-ES"/>
        </w:rPr>
        <w:t xml:space="preserve"> e importantes</w:t>
      </w:r>
      <w:r w:rsidR="005C250B">
        <w:rPr>
          <w:rFonts w:ascii="Calibri" w:hAnsi="Calibri" w:cs="Georgia"/>
          <w:i/>
          <w:lang w:val="es-ES"/>
        </w:rPr>
        <w:t xml:space="preserve"> medidas para solucionar e</w:t>
      </w:r>
      <w:r w:rsidR="00B56F8E">
        <w:rPr>
          <w:rFonts w:ascii="Calibri" w:hAnsi="Calibri" w:cs="Georgia"/>
          <w:i/>
          <w:lang w:val="es-ES"/>
        </w:rPr>
        <w:t>ste</w:t>
      </w:r>
      <w:r w:rsidR="005C250B">
        <w:rPr>
          <w:rFonts w:ascii="Calibri" w:hAnsi="Calibri" w:cs="Georgia"/>
          <w:i/>
          <w:lang w:val="es-ES"/>
        </w:rPr>
        <w:t xml:space="preserve"> problema</w:t>
      </w:r>
      <w:r w:rsidR="0014203E">
        <w:rPr>
          <w:rFonts w:ascii="Calibri" w:hAnsi="Calibri" w:cs="Georgia"/>
          <w:i/>
          <w:lang w:val="es-ES"/>
        </w:rPr>
        <w:t xml:space="preserve"> definitivamente, de forma que el sector sea económicamente sostenible y para reducir la </w:t>
      </w:r>
      <w:r w:rsidR="00BE1819">
        <w:rPr>
          <w:rFonts w:ascii="Calibri" w:hAnsi="Calibri" w:cs="Georgia"/>
          <w:i/>
          <w:lang w:val="es-ES"/>
        </w:rPr>
        <w:t>incertidumbre y el riesgo regulatorio en el sector.</w:t>
      </w:r>
    </w:p>
    <w:p w:rsidR="00B711BC" w:rsidRDefault="0036135B" w:rsidP="00F54FDE">
      <w:pPr>
        <w:spacing w:after="180"/>
        <w:ind w:left="567"/>
        <w:jc w:val="both"/>
        <w:rPr>
          <w:rFonts w:asciiTheme="minorHAnsi" w:hAnsiTheme="minorHAnsi" w:cs="Arial"/>
          <w:sz w:val="20"/>
          <w:szCs w:val="20"/>
        </w:rPr>
      </w:pPr>
      <w:r w:rsidRPr="00471B29">
        <w:rPr>
          <w:rFonts w:ascii="Calibri" w:hAnsi="Calibri"/>
          <w:b/>
          <w:sz w:val="20"/>
          <w:lang w:val="es-ES"/>
        </w:rPr>
        <w:t>Enlaces a fichas de “Energía y Sociedad” relacionadas:</w:t>
      </w:r>
      <w:r>
        <w:rPr>
          <w:rFonts w:ascii="Calibri" w:hAnsi="Calibri"/>
          <w:b/>
          <w:sz w:val="20"/>
          <w:lang w:val="es-ES"/>
        </w:rPr>
        <w:t xml:space="preserve"> </w:t>
      </w:r>
      <w:hyperlink r:id="rId12" w:history="1">
        <w:r w:rsidR="00B711BC" w:rsidRPr="00B711BC">
          <w:rPr>
            <w:rStyle w:val="Hipervnculo"/>
            <w:rFonts w:asciiTheme="minorHAnsi" w:hAnsiTheme="minorHAnsi" w:cs="Arial"/>
            <w:sz w:val="20"/>
            <w:szCs w:val="20"/>
          </w:rPr>
          <w:t>Las Tarifas de Último Recurso</w:t>
        </w:r>
      </w:hyperlink>
      <w:r w:rsidRPr="00083250">
        <w:rPr>
          <w:rFonts w:asciiTheme="minorHAnsi" w:hAnsiTheme="minorHAnsi" w:cs="Arial"/>
          <w:sz w:val="20"/>
          <w:szCs w:val="20"/>
        </w:rPr>
        <w:t xml:space="preserve">, </w:t>
      </w:r>
      <w:hyperlink r:id="rId13" w:history="1">
        <w:r w:rsidRPr="00083250">
          <w:rPr>
            <w:rStyle w:val="Hipervnculo"/>
            <w:rFonts w:asciiTheme="minorHAnsi" w:hAnsiTheme="minorHAnsi" w:cs="Arial"/>
            <w:sz w:val="20"/>
            <w:szCs w:val="20"/>
          </w:rPr>
          <w:t>El déficit tarifario: qué es, consecuencias y solución</w:t>
        </w:r>
      </w:hyperlink>
      <w:r w:rsidRPr="00083250">
        <w:rPr>
          <w:rFonts w:asciiTheme="minorHAnsi" w:hAnsiTheme="minorHAnsi" w:cs="Arial"/>
          <w:sz w:val="20"/>
          <w:szCs w:val="20"/>
        </w:rPr>
        <w:t>.</w:t>
      </w:r>
      <w:bookmarkStart w:id="2" w:name="REFLEXIONES"/>
      <w:bookmarkEnd w:id="2"/>
    </w:p>
    <w:p w:rsidR="007E334E" w:rsidRPr="00EF613B" w:rsidRDefault="007E334E" w:rsidP="007E334E">
      <w:pPr>
        <w:pBdr>
          <w:top w:val="single" w:sz="18" w:space="1" w:color="ECCC42"/>
          <w:bottom w:val="single" w:sz="18" w:space="1" w:color="ECCC42"/>
        </w:pBdr>
        <w:spacing w:before="480" w:after="720"/>
        <w:jc w:val="right"/>
        <w:rPr>
          <w:rFonts w:ascii="Calibri" w:hAnsi="Calibri" w:cs="Calibri"/>
          <w:sz w:val="2"/>
          <w:szCs w:val="2"/>
        </w:rPr>
      </w:pPr>
    </w:p>
    <w:p w:rsidR="00B711BC" w:rsidRDefault="00B711BC" w:rsidP="00B711BC">
      <w:pPr>
        <w:spacing w:after="180"/>
        <w:jc w:val="both"/>
        <w:rPr>
          <w:rFonts w:asciiTheme="minorHAnsi" w:hAnsiTheme="minorHAnsi" w:cs="Arial"/>
          <w:sz w:val="20"/>
          <w:szCs w:val="20"/>
        </w:rPr>
      </w:pPr>
    </w:p>
    <w:p w:rsidR="00B711BC" w:rsidRDefault="00B711BC" w:rsidP="00B711BC">
      <w:pPr>
        <w:spacing w:after="180"/>
        <w:jc w:val="both"/>
        <w:rPr>
          <w:rFonts w:asciiTheme="minorHAnsi" w:hAnsiTheme="minorHAnsi" w:cs="Arial"/>
          <w:sz w:val="20"/>
          <w:szCs w:val="20"/>
        </w:rPr>
      </w:pPr>
    </w:p>
    <w:p w:rsidR="00B711BC" w:rsidRDefault="00B711BC" w:rsidP="00B711BC">
      <w:pPr>
        <w:spacing w:after="180"/>
        <w:jc w:val="both"/>
        <w:rPr>
          <w:rFonts w:asciiTheme="minorHAnsi" w:hAnsiTheme="minorHAnsi" w:cs="Arial"/>
          <w:sz w:val="20"/>
          <w:szCs w:val="20"/>
        </w:rPr>
      </w:pPr>
    </w:p>
    <w:p w:rsidR="00B711BC" w:rsidRDefault="00B711BC" w:rsidP="00B711BC">
      <w:pPr>
        <w:spacing w:after="180"/>
        <w:jc w:val="both"/>
        <w:rPr>
          <w:rFonts w:asciiTheme="minorHAnsi" w:hAnsiTheme="minorHAnsi" w:cs="Arial"/>
          <w:sz w:val="20"/>
          <w:szCs w:val="20"/>
        </w:rPr>
      </w:pPr>
    </w:p>
    <w:p w:rsidR="00B711BC" w:rsidRDefault="00B711BC" w:rsidP="00B711BC">
      <w:pPr>
        <w:spacing w:after="180"/>
        <w:jc w:val="both"/>
      </w:pPr>
    </w:p>
    <w:p w:rsidR="00C2266E" w:rsidRPr="0042150C" w:rsidRDefault="00C2266E" w:rsidP="001D0650">
      <w:pPr>
        <w:pStyle w:val="Sangradetextonormal"/>
        <w:keepNext/>
        <w:spacing w:before="240" w:after="360"/>
        <w:jc w:val="left"/>
        <w:rPr>
          <w:rFonts w:cs="Calibri"/>
          <w:i w:val="0"/>
          <w:sz w:val="20"/>
        </w:rPr>
      </w:pPr>
      <w:bookmarkStart w:id="3" w:name="Contenido2"/>
      <w:bookmarkEnd w:id="3"/>
      <w:r w:rsidRPr="00C2266E">
        <w:rPr>
          <w:rFonts w:cs="Calibri"/>
          <w:b/>
          <w:bCs/>
          <w:i w:val="0"/>
          <w:iCs w:val="0"/>
          <w:sz w:val="28"/>
          <w:szCs w:val="28"/>
        </w:rPr>
        <w:t>Informe de ENTSO-E sobre el Plan de Desarrollo de la Red a 10 años (Ten</w:t>
      </w:r>
      <w:r w:rsidRPr="00610306">
        <w:rPr>
          <w:rFonts w:cs="Calibri"/>
          <w:b/>
          <w:bCs/>
          <w:i w:val="0"/>
          <w:iCs w:val="0"/>
          <w:sz w:val="28"/>
          <w:szCs w:val="28"/>
          <w:lang w:val="en-US"/>
        </w:rPr>
        <w:t xml:space="preserve"> Year</w:t>
      </w:r>
      <w:r w:rsidRPr="00C2266E">
        <w:rPr>
          <w:rFonts w:cs="Calibri"/>
          <w:b/>
          <w:bCs/>
          <w:i w:val="0"/>
          <w:iCs w:val="0"/>
          <w:sz w:val="28"/>
          <w:szCs w:val="28"/>
        </w:rPr>
        <w:t xml:space="preserve"> Network</w:t>
      </w:r>
      <w:r w:rsidRPr="00610306">
        <w:rPr>
          <w:rFonts w:cs="Calibri"/>
          <w:b/>
          <w:bCs/>
          <w:i w:val="0"/>
          <w:iCs w:val="0"/>
          <w:sz w:val="28"/>
          <w:szCs w:val="28"/>
          <w:lang w:val="en-US"/>
        </w:rPr>
        <w:t xml:space="preserve"> Development</w:t>
      </w:r>
      <w:r w:rsidRPr="00C2266E">
        <w:rPr>
          <w:rFonts w:cs="Calibri"/>
          <w:b/>
          <w:bCs/>
          <w:i w:val="0"/>
          <w:iCs w:val="0"/>
          <w:sz w:val="28"/>
          <w:szCs w:val="28"/>
        </w:rPr>
        <w:t xml:space="preserve"> Plan 2012)</w:t>
      </w:r>
    </w:p>
    <w:p w:rsidR="0042150C" w:rsidRPr="00EF613B" w:rsidRDefault="0042150C" w:rsidP="0042150C">
      <w:pPr>
        <w:pBdr>
          <w:top w:val="single" w:sz="8" w:space="1" w:color="FFCC66"/>
          <w:left w:val="single" w:sz="8" w:space="4" w:color="FFCC66"/>
          <w:bottom w:val="single" w:sz="8" w:space="1" w:color="FFCC66"/>
          <w:right w:val="single" w:sz="8" w:space="5" w:color="FFCC66"/>
        </w:pBdr>
        <w:shd w:val="clear" w:color="auto" w:fill="FFFFCC"/>
        <w:spacing w:after="180"/>
        <w:jc w:val="both"/>
        <w:rPr>
          <w:rFonts w:ascii="Calibri" w:hAnsi="Calibri" w:cs="Calibri"/>
          <w:i/>
          <w:iCs/>
          <w:lang w:val="es-ES"/>
        </w:rPr>
      </w:pPr>
      <w:r>
        <w:rPr>
          <w:rFonts w:ascii="Calibri" w:hAnsi="Calibri" w:cs="Calibri"/>
          <w:i/>
          <w:iCs/>
          <w:lang w:val="es-ES"/>
        </w:rPr>
        <w:t>ENTSO-E (</w:t>
      </w:r>
      <w:r w:rsidRPr="0025114A">
        <w:rPr>
          <w:rFonts w:ascii="Calibri" w:hAnsi="Calibri" w:cs="Calibri"/>
          <w:i/>
          <w:iCs/>
        </w:rPr>
        <w:t>European Network of</w:t>
      </w:r>
      <w:r w:rsidRPr="00610306">
        <w:rPr>
          <w:rFonts w:ascii="Calibri" w:hAnsi="Calibri" w:cs="Calibri"/>
          <w:i/>
          <w:iCs/>
          <w:lang w:val="en-US"/>
        </w:rPr>
        <w:t xml:space="preserve"> Transmission System Operators for Electricity</w:t>
      </w:r>
      <w:r>
        <w:rPr>
          <w:rFonts w:ascii="Calibri" w:hAnsi="Calibri" w:cs="Calibri"/>
          <w:i/>
          <w:iCs/>
          <w:lang w:val="es-ES"/>
        </w:rPr>
        <w:t xml:space="preserve">) </w:t>
      </w:r>
      <w:r w:rsidRPr="00EF613B">
        <w:rPr>
          <w:rFonts w:ascii="Calibri" w:hAnsi="Calibri" w:cs="Calibri"/>
          <w:i/>
          <w:iCs/>
          <w:lang w:val="es-ES"/>
        </w:rPr>
        <w:t>acaba de publicar</w:t>
      </w:r>
      <w:r>
        <w:rPr>
          <w:rFonts w:ascii="Calibri" w:hAnsi="Calibri" w:cs="Calibri"/>
          <w:i/>
          <w:iCs/>
          <w:lang w:val="es-ES"/>
        </w:rPr>
        <w:t xml:space="preserve"> </w:t>
      </w:r>
      <w:r w:rsidRPr="00CD0542">
        <w:rPr>
          <w:rFonts w:ascii="Calibri" w:hAnsi="Calibri" w:cs="Calibri"/>
          <w:i/>
          <w:iCs/>
          <w:lang w:val="es-ES"/>
        </w:rPr>
        <w:t xml:space="preserve">el </w:t>
      </w:r>
      <w:r w:rsidRPr="0025114A">
        <w:rPr>
          <w:rFonts w:ascii="Calibri" w:hAnsi="Calibri" w:cs="Calibri"/>
          <w:i/>
          <w:iCs/>
        </w:rPr>
        <w:t>Ten</w:t>
      </w:r>
      <w:r w:rsidRPr="00610306">
        <w:rPr>
          <w:rFonts w:ascii="Calibri" w:hAnsi="Calibri" w:cs="Calibri"/>
          <w:i/>
          <w:iCs/>
          <w:lang w:val="en-US"/>
        </w:rPr>
        <w:t xml:space="preserve"> Year</w:t>
      </w:r>
      <w:r w:rsidRPr="0025114A">
        <w:rPr>
          <w:rFonts w:ascii="Calibri" w:hAnsi="Calibri" w:cs="Calibri"/>
          <w:i/>
          <w:iCs/>
        </w:rPr>
        <w:t xml:space="preserve"> Network</w:t>
      </w:r>
      <w:r w:rsidRPr="00610306">
        <w:rPr>
          <w:rFonts w:ascii="Calibri" w:hAnsi="Calibri" w:cs="Calibri"/>
          <w:i/>
          <w:iCs/>
          <w:lang w:val="en-US"/>
        </w:rPr>
        <w:t xml:space="preserve"> Development</w:t>
      </w:r>
      <w:r w:rsidRPr="0025114A">
        <w:rPr>
          <w:rFonts w:ascii="Calibri" w:hAnsi="Calibri" w:cs="Calibri"/>
          <w:i/>
          <w:iCs/>
        </w:rPr>
        <w:t xml:space="preserve"> Plan</w:t>
      </w:r>
      <w:r w:rsidRPr="00CD0542">
        <w:rPr>
          <w:rFonts w:ascii="Calibri" w:hAnsi="Calibri" w:cs="Calibri"/>
          <w:i/>
          <w:iCs/>
          <w:lang w:val="es-ES"/>
        </w:rPr>
        <w:t xml:space="preserve"> (TYNDP)</w:t>
      </w:r>
      <w:r>
        <w:rPr>
          <w:rFonts w:ascii="Calibri" w:hAnsi="Calibri" w:cs="Calibri"/>
          <w:i/>
          <w:iCs/>
          <w:lang w:val="es-ES"/>
        </w:rPr>
        <w:t>, que ha sido en</w:t>
      </w:r>
      <w:r w:rsidR="00BE1819">
        <w:rPr>
          <w:rFonts w:ascii="Calibri" w:hAnsi="Calibri" w:cs="Calibri"/>
          <w:i/>
          <w:iCs/>
          <w:lang w:val="es-ES"/>
        </w:rPr>
        <w:t>v</w:t>
      </w:r>
      <w:r>
        <w:rPr>
          <w:rFonts w:ascii="Calibri" w:hAnsi="Calibri" w:cs="Calibri"/>
          <w:i/>
          <w:iCs/>
          <w:lang w:val="es-ES"/>
        </w:rPr>
        <w:t xml:space="preserve">iado a </w:t>
      </w:r>
      <w:hyperlink r:id="rId14" w:history="1">
        <w:r w:rsidRPr="00B711BC">
          <w:rPr>
            <w:rStyle w:val="Hipervnculo"/>
            <w:rFonts w:ascii="Calibri" w:hAnsi="Calibri" w:cs="Calibri"/>
            <w:i/>
            <w:iCs/>
            <w:lang w:val="es-ES"/>
          </w:rPr>
          <w:t>ACER</w:t>
        </w:r>
      </w:hyperlink>
      <w:r w:rsidR="006B71F4">
        <w:rPr>
          <w:rStyle w:val="Refdenotaalpie"/>
          <w:i/>
          <w:iCs/>
          <w:lang w:val="es-ES"/>
        </w:rPr>
        <w:footnoteReference w:id="3"/>
      </w:r>
      <w:r>
        <w:rPr>
          <w:rFonts w:ascii="Calibri" w:hAnsi="Calibri" w:cs="Calibri"/>
          <w:i/>
          <w:iCs/>
          <w:lang w:val="es-ES"/>
        </w:rPr>
        <w:t xml:space="preserve"> para opinión. Este documento,</w:t>
      </w:r>
      <w:r w:rsidRPr="00CD0542">
        <w:rPr>
          <w:rFonts w:ascii="Calibri" w:hAnsi="Calibri" w:cs="Calibri"/>
          <w:i/>
          <w:iCs/>
          <w:lang w:val="es-ES"/>
        </w:rPr>
        <w:t xml:space="preserve"> de publicación bianual y no vinculante, forma, junto con el</w:t>
      </w:r>
      <w:r w:rsidRPr="00610306">
        <w:rPr>
          <w:rFonts w:ascii="Calibri" w:hAnsi="Calibri" w:cs="Calibri"/>
          <w:i/>
          <w:iCs/>
          <w:lang w:val="en-US"/>
        </w:rPr>
        <w:t xml:space="preserve"> Scenario</w:t>
      </w:r>
      <w:r w:rsidRPr="00CD0542">
        <w:rPr>
          <w:rFonts w:ascii="Calibri" w:hAnsi="Calibri" w:cs="Calibri"/>
          <w:i/>
          <w:iCs/>
          <w:lang w:val="es-ES"/>
        </w:rPr>
        <w:t xml:space="preserve"> Outlook and</w:t>
      </w:r>
      <w:r w:rsidRPr="00610306">
        <w:rPr>
          <w:rFonts w:ascii="Calibri" w:hAnsi="Calibri" w:cs="Calibri"/>
          <w:i/>
          <w:iCs/>
          <w:lang w:val="en-US"/>
        </w:rPr>
        <w:t xml:space="preserve"> </w:t>
      </w:r>
      <w:r w:rsidR="00610306" w:rsidRPr="00610306">
        <w:rPr>
          <w:rFonts w:ascii="Calibri" w:hAnsi="Calibri" w:cs="Calibri"/>
          <w:i/>
          <w:iCs/>
          <w:lang w:val="en-US"/>
        </w:rPr>
        <w:t>Adequacy</w:t>
      </w:r>
      <w:r w:rsidRPr="00610306">
        <w:rPr>
          <w:rFonts w:ascii="Calibri" w:hAnsi="Calibri" w:cs="Calibri"/>
          <w:i/>
          <w:iCs/>
          <w:lang w:val="en-US"/>
        </w:rPr>
        <w:t xml:space="preserve"> Forecast</w:t>
      </w:r>
      <w:r w:rsidRPr="00CD0542">
        <w:rPr>
          <w:rFonts w:ascii="Calibri" w:hAnsi="Calibri" w:cs="Calibri"/>
          <w:i/>
          <w:iCs/>
          <w:lang w:val="es-ES"/>
        </w:rPr>
        <w:t xml:space="preserve"> 2012 (SOAF) y los 6 Planes Regionales de Inversión 2012, el Ten</w:t>
      </w:r>
      <w:r w:rsidRPr="00610306">
        <w:rPr>
          <w:rFonts w:ascii="Calibri" w:hAnsi="Calibri" w:cs="Calibri"/>
          <w:i/>
          <w:iCs/>
          <w:lang w:val="en-US"/>
        </w:rPr>
        <w:t xml:space="preserve"> Year</w:t>
      </w:r>
      <w:r w:rsidRPr="00CD0542">
        <w:rPr>
          <w:rFonts w:ascii="Calibri" w:hAnsi="Calibri" w:cs="Calibri"/>
          <w:i/>
          <w:iCs/>
          <w:lang w:val="es-ES"/>
        </w:rPr>
        <w:t xml:space="preserve"> Network</w:t>
      </w:r>
      <w:r w:rsidRPr="00610306">
        <w:rPr>
          <w:rFonts w:ascii="Calibri" w:hAnsi="Calibri" w:cs="Calibri"/>
          <w:i/>
          <w:iCs/>
          <w:lang w:val="en-US"/>
        </w:rPr>
        <w:t xml:space="preserve"> Development</w:t>
      </w:r>
      <w:r w:rsidRPr="00CD0542">
        <w:rPr>
          <w:rFonts w:ascii="Calibri" w:hAnsi="Calibri" w:cs="Calibri"/>
          <w:i/>
          <w:iCs/>
          <w:lang w:val="es-ES"/>
        </w:rPr>
        <w:t xml:space="preserve"> Plan</w:t>
      </w:r>
      <w:r w:rsidRPr="00610306">
        <w:rPr>
          <w:rFonts w:ascii="Calibri" w:hAnsi="Calibri" w:cs="Calibri"/>
          <w:i/>
          <w:iCs/>
          <w:lang w:val="en-US"/>
        </w:rPr>
        <w:t xml:space="preserve"> Package</w:t>
      </w:r>
      <w:r w:rsidRPr="00CD0542">
        <w:rPr>
          <w:rFonts w:ascii="Calibri" w:hAnsi="Calibri" w:cs="Calibri"/>
          <w:i/>
          <w:iCs/>
          <w:lang w:val="es-ES"/>
        </w:rPr>
        <w:t xml:space="preserve"> 2012, que da una visión del desarrollo de las redes de transporte para los próximos 10 años en Europa y describe las inversiones más importantes y necesarias para alcanzar los objetivos europeos establecidos</w:t>
      </w:r>
      <w:r w:rsidRPr="00EF613B">
        <w:rPr>
          <w:rFonts w:ascii="Calibri" w:hAnsi="Calibri" w:cs="Calibri"/>
          <w:i/>
          <w:iCs/>
          <w:lang w:val="es-ES"/>
        </w:rPr>
        <w:t>.</w:t>
      </w:r>
      <w:r>
        <w:rPr>
          <w:rFonts w:ascii="Calibri" w:hAnsi="Calibri" w:cs="Calibri"/>
          <w:i/>
          <w:iCs/>
          <w:lang w:val="es-ES"/>
        </w:rPr>
        <w:t xml:space="preserve">  </w:t>
      </w:r>
    </w:p>
    <w:p w:rsidR="005A5EB8" w:rsidRPr="007117D3" w:rsidRDefault="0042150C" w:rsidP="0042150C">
      <w:pPr>
        <w:pBdr>
          <w:top w:val="single" w:sz="8" w:space="1" w:color="FFCC66"/>
          <w:left w:val="single" w:sz="8" w:space="4" w:color="FFCC66"/>
          <w:bottom w:val="single" w:sz="8" w:space="1" w:color="FFCC66"/>
          <w:right w:val="single" w:sz="8" w:space="5" w:color="FFCC66"/>
        </w:pBdr>
        <w:shd w:val="clear" w:color="auto" w:fill="FFFFCC"/>
        <w:spacing w:before="120" w:after="360"/>
        <w:jc w:val="both"/>
        <w:rPr>
          <w:rFonts w:ascii="Calibri" w:hAnsi="Calibri" w:cs="Calibri"/>
          <w:i/>
          <w:sz w:val="20"/>
        </w:rPr>
      </w:pPr>
      <w:r w:rsidRPr="00EF613B">
        <w:rPr>
          <w:rFonts w:ascii="Calibri" w:hAnsi="Calibri" w:cs="Calibri"/>
          <w:i/>
          <w:sz w:val="20"/>
          <w:lang w:val="es-ES"/>
        </w:rPr>
        <w:t xml:space="preserve">Enlace: </w:t>
      </w:r>
      <w:hyperlink r:id="rId15" w:history="1">
        <w:r w:rsidRPr="00DB4D68">
          <w:rPr>
            <w:rStyle w:val="Hipervnculo"/>
            <w:rFonts w:ascii="Calibri" w:hAnsi="Calibri" w:cs="Calibri"/>
            <w:i/>
            <w:sz w:val="20"/>
            <w:lang w:val="es-ES"/>
          </w:rPr>
          <w:t>ENTSO-E TYNDP 2012</w:t>
        </w:r>
      </w:hyperlink>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En el documento se analizan 2 escenarios: UE 2020, que es el escenario de referencia (</w:t>
      </w:r>
      <w:r w:rsidR="004B677B">
        <w:rPr>
          <w:rFonts w:ascii="Calibri" w:hAnsi="Calibri" w:cs="Calibri"/>
          <w:lang w:val="es-ES"/>
        </w:rPr>
        <w:t xml:space="preserve">de tipo </w:t>
      </w:r>
      <w:r w:rsidR="00D45C1B" w:rsidRPr="00D45C1B">
        <w:rPr>
          <w:rFonts w:ascii="Calibri" w:hAnsi="Calibri" w:cs="Calibri"/>
          <w:i/>
          <w:lang w:val="es-ES"/>
        </w:rPr>
        <w:t>top</w:t>
      </w:r>
      <w:r w:rsidR="00D45C1B" w:rsidRPr="00610306">
        <w:rPr>
          <w:rFonts w:ascii="Calibri" w:hAnsi="Calibri" w:cs="Calibri"/>
          <w:i/>
          <w:lang w:val="en-US"/>
        </w:rPr>
        <w:t>-down</w:t>
      </w:r>
      <w:r w:rsidRPr="0042150C">
        <w:rPr>
          <w:rFonts w:ascii="Calibri" w:hAnsi="Calibri" w:cs="Calibri"/>
          <w:lang w:val="es-ES"/>
        </w:rPr>
        <w:t>, basado en los objetivos 20-20-20 y en los Planes de Acción Nacional de Energías Renovables -</w:t>
      </w:r>
      <w:hyperlink r:id="rId16" w:history="1">
        <w:r w:rsidRPr="00135580">
          <w:rPr>
            <w:rStyle w:val="Hipervnculo"/>
            <w:rFonts w:ascii="Calibri" w:hAnsi="Calibri" w:cs="Calibri"/>
            <w:lang w:val="es-ES"/>
          </w:rPr>
          <w:t>PANER</w:t>
        </w:r>
      </w:hyperlink>
      <w:r w:rsidRPr="0042150C">
        <w:rPr>
          <w:rFonts w:ascii="Calibri" w:hAnsi="Calibri" w:cs="Calibri"/>
          <w:lang w:val="es-ES"/>
        </w:rPr>
        <w:t>) y el Escenario SAF-B (</w:t>
      </w:r>
      <w:r w:rsidR="004B677B">
        <w:rPr>
          <w:rFonts w:ascii="Calibri" w:hAnsi="Calibri" w:cs="Calibri"/>
          <w:lang w:val="es-ES"/>
        </w:rPr>
        <w:t>de tipo</w:t>
      </w:r>
      <w:r w:rsidR="004B677B" w:rsidRPr="00610306">
        <w:rPr>
          <w:rFonts w:ascii="Calibri" w:hAnsi="Calibri" w:cs="Calibri"/>
          <w:lang w:val="en-US"/>
        </w:rPr>
        <w:t xml:space="preserve"> </w:t>
      </w:r>
      <w:r w:rsidR="00D45C1B" w:rsidRPr="00610306">
        <w:rPr>
          <w:rFonts w:ascii="Calibri" w:hAnsi="Calibri" w:cs="Calibri"/>
          <w:i/>
          <w:lang w:val="en-US"/>
        </w:rPr>
        <w:t>bottom</w:t>
      </w:r>
      <w:r w:rsidR="00D45C1B" w:rsidRPr="00D45C1B">
        <w:rPr>
          <w:rFonts w:ascii="Calibri" w:hAnsi="Calibri" w:cs="Calibri"/>
          <w:i/>
          <w:lang w:val="es-ES"/>
        </w:rPr>
        <w:t>-up</w:t>
      </w:r>
      <w:r w:rsidRPr="0042150C">
        <w:rPr>
          <w:rFonts w:ascii="Calibri" w:hAnsi="Calibri" w:cs="Calibri"/>
          <w:lang w:val="es-ES"/>
        </w:rPr>
        <w:t>, extrapola las perspectivas actuales de inversión de los TSOs).</w:t>
      </w: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 xml:space="preserve">La mayor parte de las nuevas instalaciones de generación previstas en el horizonte 2020 serán renovables y estarán situadas lejos de los centros de consumo, lo que junto a la naturaleza volátil de este tipo de energías, conlleva la necesidad de adaptar las redes de transporte. También es necesaria la inversión en redes para </w:t>
      </w:r>
      <w:r w:rsidR="004B677B">
        <w:rPr>
          <w:rFonts w:ascii="Calibri" w:hAnsi="Calibri" w:cs="Calibri"/>
          <w:lang w:val="es-ES"/>
        </w:rPr>
        <w:t>disminuir</w:t>
      </w:r>
      <w:r w:rsidR="004B677B" w:rsidRPr="0042150C">
        <w:rPr>
          <w:rFonts w:ascii="Calibri" w:hAnsi="Calibri" w:cs="Calibri"/>
          <w:lang w:val="es-ES"/>
        </w:rPr>
        <w:t xml:space="preserve"> </w:t>
      </w:r>
      <w:r w:rsidRPr="0042150C">
        <w:rPr>
          <w:rFonts w:ascii="Calibri" w:hAnsi="Calibri" w:cs="Calibri"/>
          <w:lang w:val="es-ES"/>
        </w:rPr>
        <w:t>las congestiones y avanzar en la integración de los mercados.</w:t>
      </w: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Se han identificado alrededor de 100 cuellos de botella para 2020 en las redes europeas: el 60% relacionado con la integración del mercado, el 30% con la conexión de la generación y el 10% con la seguridad de suministro. A su vez, el 80% de los cuellos de botella están relacionados con la integración de las renovables</w:t>
      </w:r>
    </w:p>
    <w:p w:rsidR="0042150C" w:rsidRDefault="0042150C" w:rsidP="0042150C">
      <w:pPr>
        <w:spacing w:after="180"/>
        <w:jc w:val="both"/>
        <w:rPr>
          <w:rFonts w:ascii="Calibri" w:hAnsi="Calibri" w:cs="Calibri"/>
          <w:lang w:val="es-ES"/>
        </w:rPr>
      </w:pPr>
      <w:r w:rsidRPr="0042150C">
        <w:rPr>
          <w:rFonts w:ascii="Calibri" w:hAnsi="Calibri" w:cs="Calibri"/>
          <w:lang w:val="es-ES"/>
        </w:rPr>
        <w:t>Para solventar dichos cuellos de botella, se han identificado más de 100 proyectos de importancia pan-europea</w:t>
      </w:r>
      <w:r w:rsidR="00DC7918">
        <w:rPr>
          <w:rStyle w:val="Refdenotaalpie"/>
          <w:lang w:val="es-ES"/>
        </w:rPr>
        <w:footnoteReference w:id="4"/>
      </w:r>
      <w:r w:rsidRPr="0042150C">
        <w:rPr>
          <w:rFonts w:ascii="Calibri" w:hAnsi="Calibri" w:cs="Calibri"/>
          <w:lang w:val="es-ES"/>
        </w:rPr>
        <w:t xml:space="preserve">  (“</w:t>
      </w:r>
      <w:r w:rsidRPr="00610306">
        <w:rPr>
          <w:rFonts w:ascii="Calibri" w:hAnsi="Calibri" w:cs="Calibri"/>
          <w:lang w:val="en-US"/>
        </w:rPr>
        <w:t>projects</w:t>
      </w:r>
      <w:r w:rsidRPr="0042150C">
        <w:rPr>
          <w:rFonts w:ascii="Calibri" w:hAnsi="Calibri" w:cs="Calibri"/>
          <w:lang w:val="es-ES"/>
        </w:rPr>
        <w:t xml:space="preserve"> of pan-European</w:t>
      </w:r>
      <w:r w:rsidRPr="00610306">
        <w:rPr>
          <w:rFonts w:ascii="Calibri" w:hAnsi="Calibri" w:cs="Calibri"/>
          <w:lang w:val="en-US"/>
        </w:rPr>
        <w:t xml:space="preserve"> significance</w:t>
      </w:r>
      <w:r w:rsidRPr="0042150C">
        <w:rPr>
          <w:rFonts w:ascii="Calibri" w:hAnsi="Calibri" w:cs="Calibri"/>
          <w:lang w:val="es-ES"/>
        </w:rPr>
        <w:t>”), el 40% de los cuales son interconexiones. El 76% de las inversiones estaban ya previstas en el TY</w:t>
      </w:r>
      <w:r>
        <w:rPr>
          <w:rFonts w:ascii="Calibri" w:hAnsi="Calibri" w:cs="Calibri"/>
          <w:lang w:val="es-ES"/>
        </w:rPr>
        <w:t>NDP 2010</w:t>
      </w:r>
      <w:r w:rsidR="00DC7918">
        <w:rPr>
          <w:rStyle w:val="Refdenotaalpie"/>
          <w:lang w:val="es-ES"/>
        </w:rPr>
        <w:footnoteReference w:id="5"/>
      </w:r>
      <w:r w:rsidRPr="0042150C">
        <w:rPr>
          <w:rFonts w:ascii="Calibri" w:hAnsi="Calibri" w:cs="Calibri"/>
          <w:lang w:val="es-ES"/>
        </w:rPr>
        <w:t>, con lo que sólo el 24% son nuevas. Sin</w:t>
      </w:r>
      <w:r>
        <w:rPr>
          <w:rFonts w:ascii="Calibri" w:hAnsi="Calibri" w:cs="Calibri"/>
          <w:lang w:val="es-ES"/>
        </w:rPr>
        <w:t xml:space="preserve"> </w:t>
      </w:r>
      <w:r w:rsidRPr="0042150C">
        <w:rPr>
          <w:rFonts w:ascii="Calibri" w:hAnsi="Calibri" w:cs="Calibri"/>
          <w:lang w:val="es-ES"/>
        </w:rPr>
        <w:t>embargo, un tercio de las inversiones previstas en el anterior TYNDP se han visto retrasadas debido al rechazo social y unos trámites más largos de los previstos. El 82% de las inversiones se destinan a nuevas instalaciones y el 18% a reforzar o ampliar activos existentes.</w:t>
      </w:r>
    </w:p>
    <w:p w:rsidR="0042150C" w:rsidRPr="0042150C" w:rsidRDefault="0042150C" w:rsidP="0042150C">
      <w:pPr>
        <w:spacing w:after="180"/>
        <w:jc w:val="center"/>
        <w:rPr>
          <w:rFonts w:ascii="Calibri" w:hAnsi="Calibri" w:cs="Calibri"/>
          <w:lang w:val="es-ES"/>
        </w:rPr>
      </w:pPr>
      <w:r w:rsidRPr="0042150C">
        <w:rPr>
          <w:rFonts w:ascii="Calibri" w:hAnsi="Calibri" w:cs="Calibri"/>
          <w:noProof/>
          <w:lang w:val="es-ES"/>
        </w:rPr>
        <w:drawing>
          <wp:inline distT="0" distB="0" distL="0" distR="0">
            <wp:extent cx="4677309" cy="1899951"/>
            <wp:effectExtent l="19050" t="0" r="8991"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srcRect/>
                    <a:stretch>
                      <a:fillRect/>
                    </a:stretch>
                  </pic:blipFill>
                  <pic:spPr bwMode="auto">
                    <a:xfrm>
                      <a:off x="0" y="0"/>
                      <a:ext cx="4677309" cy="1899951"/>
                    </a:xfrm>
                    <a:prstGeom prst="rect">
                      <a:avLst/>
                    </a:prstGeom>
                    <a:noFill/>
                    <a:ln w="9525">
                      <a:noFill/>
                      <a:miter lim="800000"/>
                      <a:headEnd/>
                      <a:tailEnd/>
                    </a:ln>
                  </pic:spPr>
                </pic:pic>
              </a:graphicData>
            </a:graphic>
          </wp:inline>
        </w:drawing>
      </w: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El 80% de los proyectos contribuyen a la integración de las renovables:  los proyectos de importancia europea permitirán absorber 125 GW de nueva potencia renovable en 2020 (de un total de 250 GW de nueva potencia que se prevé instalar, sobre todo eólica y solar, en el Escenario UE 2020; el Escenario B estima 22 GW menos).</w:t>
      </w:r>
    </w:p>
    <w:p w:rsidR="0042150C" w:rsidRDefault="0042150C" w:rsidP="0042150C">
      <w:pPr>
        <w:jc w:val="both"/>
        <w:rPr>
          <w:rFonts w:asciiTheme="minorHAnsi" w:hAnsiTheme="minorHAnsi"/>
          <w:lang w:val="es-ES"/>
        </w:rPr>
      </w:pPr>
      <w:r w:rsidRPr="0042150C">
        <w:rPr>
          <w:rFonts w:ascii="Calibri" w:hAnsi="Calibri" w:cs="Calibri"/>
          <w:lang w:val="es-ES"/>
        </w:rPr>
        <w:t xml:space="preserve"> </w:t>
      </w:r>
    </w:p>
    <w:p w:rsidR="0042150C" w:rsidRDefault="0042150C" w:rsidP="0042150C">
      <w:pPr>
        <w:ind w:left="1701"/>
        <w:jc w:val="both"/>
        <w:rPr>
          <w:rFonts w:asciiTheme="minorHAnsi" w:hAnsiTheme="minorHAnsi"/>
          <w:lang w:val="es-ES"/>
        </w:rPr>
      </w:pPr>
      <w:r>
        <w:rPr>
          <w:rFonts w:asciiTheme="minorHAnsi" w:hAnsiTheme="minorHAnsi"/>
          <w:noProof/>
          <w:lang w:val="es-ES"/>
        </w:rPr>
        <w:drawing>
          <wp:inline distT="0" distB="0" distL="0" distR="0">
            <wp:extent cx="1978000" cy="1051320"/>
            <wp:effectExtent l="19050" t="0" r="3200" b="0"/>
            <wp:docPr id="1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srcRect/>
                    <a:stretch>
                      <a:fillRect/>
                    </a:stretch>
                  </pic:blipFill>
                  <pic:spPr bwMode="auto">
                    <a:xfrm>
                      <a:off x="0" y="0"/>
                      <a:ext cx="1977786" cy="1051206"/>
                    </a:xfrm>
                    <a:prstGeom prst="rect">
                      <a:avLst/>
                    </a:prstGeom>
                    <a:noFill/>
                    <a:ln w="9525">
                      <a:noFill/>
                      <a:miter lim="800000"/>
                      <a:headEnd/>
                      <a:tailEnd/>
                    </a:ln>
                  </pic:spPr>
                </pic:pic>
              </a:graphicData>
            </a:graphic>
          </wp:inline>
        </w:drawing>
      </w:r>
      <w:r w:rsidRPr="008E2996">
        <w:rPr>
          <w:rFonts w:asciiTheme="minorHAnsi" w:hAnsiTheme="minorHAnsi"/>
          <w:lang w:val="es-ES"/>
        </w:rPr>
        <w:t xml:space="preserve"> </w:t>
      </w:r>
      <w:r>
        <w:rPr>
          <w:rFonts w:asciiTheme="minorHAnsi" w:hAnsiTheme="minorHAnsi"/>
          <w:noProof/>
          <w:lang w:val="es-ES"/>
        </w:rPr>
        <w:drawing>
          <wp:inline distT="0" distB="0" distL="0" distR="0">
            <wp:extent cx="1870091" cy="987552"/>
            <wp:effectExtent l="19050" t="0" r="0" b="0"/>
            <wp:docPr id="12"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srcRect/>
                    <a:stretch>
                      <a:fillRect/>
                    </a:stretch>
                  </pic:blipFill>
                  <pic:spPr bwMode="auto">
                    <a:xfrm>
                      <a:off x="0" y="0"/>
                      <a:ext cx="1871131" cy="988101"/>
                    </a:xfrm>
                    <a:prstGeom prst="rect">
                      <a:avLst/>
                    </a:prstGeom>
                    <a:noFill/>
                    <a:ln w="9525">
                      <a:noFill/>
                      <a:miter lim="800000"/>
                      <a:headEnd/>
                      <a:tailEnd/>
                    </a:ln>
                  </pic:spPr>
                </pic:pic>
              </a:graphicData>
            </a:graphic>
          </wp:inline>
        </w:drawing>
      </w:r>
    </w:p>
    <w:p w:rsidR="0042150C" w:rsidRPr="006762AF" w:rsidRDefault="0042150C" w:rsidP="0042150C">
      <w:pPr>
        <w:ind w:left="1560"/>
        <w:jc w:val="both"/>
        <w:rPr>
          <w:rFonts w:asciiTheme="minorHAnsi" w:hAnsiTheme="minorHAnsi"/>
          <w:lang w:val="es-ES"/>
        </w:rPr>
      </w:pPr>
      <w:r>
        <w:rPr>
          <w:rFonts w:asciiTheme="minorHAnsi" w:hAnsiTheme="minorHAnsi"/>
          <w:noProof/>
          <w:lang w:val="es-ES"/>
        </w:rPr>
        <w:drawing>
          <wp:inline distT="0" distB="0" distL="0" distR="0">
            <wp:extent cx="2307184" cy="272420"/>
            <wp:effectExtent l="19050" t="0" r="0" b="0"/>
            <wp:docPr id="1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srcRect/>
                    <a:stretch>
                      <a:fillRect/>
                    </a:stretch>
                  </pic:blipFill>
                  <pic:spPr bwMode="auto">
                    <a:xfrm>
                      <a:off x="0" y="0"/>
                      <a:ext cx="2335594" cy="275774"/>
                    </a:xfrm>
                    <a:prstGeom prst="rect">
                      <a:avLst/>
                    </a:prstGeom>
                    <a:noFill/>
                    <a:ln w="9525">
                      <a:noFill/>
                      <a:miter lim="800000"/>
                      <a:headEnd/>
                      <a:tailEnd/>
                    </a:ln>
                  </pic:spPr>
                </pic:pic>
              </a:graphicData>
            </a:graphic>
          </wp:inline>
        </w:drawing>
      </w:r>
    </w:p>
    <w:p w:rsidR="0042150C" w:rsidRPr="0042150C" w:rsidRDefault="0042150C" w:rsidP="0042150C">
      <w:pPr>
        <w:spacing w:after="180"/>
        <w:jc w:val="both"/>
        <w:rPr>
          <w:rFonts w:ascii="Calibri" w:hAnsi="Calibri" w:cs="Calibri"/>
          <w:lang w:val="es-ES"/>
        </w:rPr>
      </w:pP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Además de contribuir a la integración de las renovables, estos proyectos reducirán los costes de operación de las plantas de generación en un 5% anual (los mayores ahorros se esperan en la Península Ibérica, Italia, Irlanda y Reino Unido, y los Estados Bálticos, debido a que su nivel de integración en el sistema eu</w:t>
      </w:r>
      <w:r>
        <w:rPr>
          <w:rFonts w:ascii="Calibri" w:hAnsi="Calibri" w:cs="Calibri"/>
          <w:lang w:val="es-ES"/>
        </w:rPr>
        <w:t>ropeo es actualmente muy bajo).</w:t>
      </w: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Estos proyectos ayudan también a reducir las emisiones de CO2, tanto porque posibilitan la integración de renovables como por otras reducciones de emisiones derivadas de la integración de los diferentes mercados.</w:t>
      </w: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El coste total de las inversiones de estos proyectos de importancia pan-europea suma 104.000 M€</w:t>
      </w:r>
      <w:r w:rsidR="004B677B">
        <w:rPr>
          <w:rFonts w:ascii="Calibri" w:hAnsi="Calibri" w:cs="Calibri"/>
          <w:lang w:val="es-ES"/>
        </w:rPr>
        <w:t>,</w:t>
      </w:r>
      <w:r w:rsidRPr="0042150C">
        <w:rPr>
          <w:rFonts w:ascii="Calibri" w:hAnsi="Calibri" w:cs="Calibri"/>
          <w:lang w:val="es-ES"/>
        </w:rPr>
        <w:t xml:space="preserve"> cifra en línea con el anterior TYNDP 2010 y la Comunicación de la CE sobre el paquete de infraestructuras energéticas, del 17 de noviembre de 2011. A España le corresponden 4.8000 M€, un 4,6% del total.</w:t>
      </w: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¿Será adecuado el sistema de transporte después de implementar los proyectos propuestos?  En general, se garantiza la seguridad de suministro y la integración del mercado. Las necesidades directas de conexión de las renovables se solventan con estas inversiones, salvo para el caso del norte de España e Irlanda; incluso con la ejecución de todos los proyectos contemplados en este Plan, se prevén congestiones en las interconexiones entre España y Francia más del  50% del tiempo. A pesar de que la capacidad de interconexión entre España y Francia se multiplique por cuatro, la interconexión de España alcanzaría el 4% de su capacidad instalada, por debajo del objetivo del 10% fijado por el Consejo Europeo</w:t>
      </w:r>
      <w:r>
        <w:rPr>
          <w:rFonts w:ascii="Calibri" w:hAnsi="Calibri" w:cs="Calibri"/>
          <w:lang w:val="es-ES"/>
        </w:rPr>
        <w:t>.</w:t>
      </w:r>
    </w:p>
    <w:p w:rsidR="0042150C" w:rsidRDefault="0042150C" w:rsidP="0042150C">
      <w:pPr>
        <w:spacing w:after="180"/>
        <w:jc w:val="both"/>
        <w:rPr>
          <w:rFonts w:ascii="Calibri" w:hAnsi="Calibri" w:cs="Calibri"/>
          <w:lang w:val="es-ES"/>
        </w:rPr>
      </w:pPr>
      <w:r w:rsidRPr="0042150C">
        <w:rPr>
          <w:rFonts w:ascii="Calibri" w:hAnsi="Calibri" w:cs="Calibri"/>
          <w:lang w:val="es-ES"/>
        </w:rPr>
        <w:t xml:space="preserve">Existe el riesgo de que el desarrollo de las redes no esté a tiempo si se cumplen los objetivos sobre renovables a 2020: es necesario agilizar los trámites para obtener los permisos, tal y como propugna el Paquete de Infraestructura Energética: </w:t>
      </w:r>
      <w:r w:rsidRPr="00610306">
        <w:rPr>
          <w:rFonts w:ascii="Calibri" w:hAnsi="Calibri" w:cs="Calibri"/>
          <w:lang w:val="en-US"/>
        </w:rPr>
        <w:t>“</w:t>
      </w:r>
      <w:r w:rsidR="00D45C1B" w:rsidRPr="00610306">
        <w:rPr>
          <w:rFonts w:ascii="Calibri" w:hAnsi="Calibri" w:cs="Calibri"/>
          <w:i/>
          <w:lang w:val="en-US"/>
        </w:rPr>
        <w:t>one</w:t>
      </w:r>
      <w:r w:rsidR="00D45C1B" w:rsidRPr="00D45C1B">
        <w:rPr>
          <w:rFonts w:ascii="Calibri" w:hAnsi="Calibri" w:cs="Calibri"/>
          <w:i/>
          <w:lang w:val="es-ES"/>
        </w:rPr>
        <w:t xml:space="preserve"> shop stop</w:t>
      </w:r>
      <w:r w:rsidRPr="0042150C">
        <w:rPr>
          <w:rFonts w:ascii="Calibri" w:hAnsi="Calibri" w:cs="Calibri"/>
          <w:lang w:val="es-ES"/>
        </w:rPr>
        <w:t>”, y plazos delimitados (para Proyectos de Interés Común)</w:t>
      </w:r>
    </w:p>
    <w:p w:rsidR="0042150C" w:rsidRPr="0042150C" w:rsidRDefault="0042150C" w:rsidP="0042150C">
      <w:pPr>
        <w:spacing w:after="180"/>
        <w:jc w:val="both"/>
        <w:rPr>
          <w:rFonts w:ascii="Calibri" w:hAnsi="Calibri" w:cs="Calibri"/>
          <w:lang w:val="es-ES"/>
        </w:rPr>
      </w:pPr>
    </w:p>
    <w:p w:rsidR="0042150C" w:rsidRPr="0042150C" w:rsidRDefault="0042150C" w:rsidP="0042150C">
      <w:pPr>
        <w:spacing w:after="180"/>
        <w:jc w:val="center"/>
        <w:rPr>
          <w:rFonts w:ascii="Calibri" w:hAnsi="Calibri" w:cs="Calibri"/>
          <w:lang w:val="es-ES"/>
        </w:rPr>
      </w:pPr>
      <w:r w:rsidRPr="0042150C">
        <w:rPr>
          <w:rFonts w:ascii="Calibri" w:hAnsi="Calibri" w:cs="Calibri"/>
          <w:noProof/>
          <w:lang w:val="es-ES"/>
        </w:rPr>
        <w:drawing>
          <wp:inline distT="0" distB="0" distL="0" distR="0">
            <wp:extent cx="2146249" cy="1384141"/>
            <wp:effectExtent l="19050" t="0" r="6401" b="0"/>
            <wp:docPr id="14"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srcRect/>
                    <a:stretch>
                      <a:fillRect/>
                    </a:stretch>
                  </pic:blipFill>
                  <pic:spPr bwMode="auto">
                    <a:xfrm>
                      <a:off x="0" y="0"/>
                      <a:ext cx="2147409" cy="1384889"/>
                    </a:xfrm>
                    <a:prstGeom prst="rect">
                      <a:avLst/>
                    </a:prstGeom>
                    <a:noFill/>
                    <a:ln w="9525">
                      <a:noFill/>
                      <a:miter lim="800000"/>
                      <a:headEnd/>
                      <a:tailEnd/>
                    </a:ln>
                  </pic:spPr>
                </pic:pic>
              </a:graphicData>
            </a:graphic>
          </wp:inline>
        </w:drawing>
      </w:r>
    </w:p>
    <w:p w:rsidR="0042150C" w:rsidRDefault="0042150C" w:rsidP="0042150C">
      <w:pPr>
        <w:spacing w:after="180"/>
        <w:jc w:val="both"/>
        <w:rPr>
          <w:rFonts w:ascii="Calibri" w:hAnsi="Calibri" w:cs="Calibri"/>
          <w:lang w:val="es-ES"/>
        </w:rPr>
      </w:pPr>
    </w:p>
    <w:p w:rsidR="0042150C" w:rsidRPr="0042150C" w:rsidRDefault="0042150C" w:rsidP="0042150C">
      <w:pPr>
        <w:spacing w:after="180"/>
        <w:jc w:val="both"/>
        <w:rPr>
          <w:rFonts w:ascii="Calibri" w:hAnsi="Calibri" w:cs="Calibri"/>
          <w:lang w:val="es-ES"/>
        </w:rPr>
      </w:pPr>
      <w:r w:rsidRPr="0042150C">
        <w:rPr>
          <w:rFonts w:ascii="Calibri" w:hAnsi="Calibri" w:cs="Calibri"/>
          <w:lang w:val="es-ES"/>
        </w:rPr>
        <w:t>Este Plan y los proyectos que contempla son el primer paso hacia la</w:t>
      </w:r>
      <w:r w:rsidRPr="00610306">
        <w:rPr>
          <w:rFonts w:ascii="Calibri" w:hAnsi="Calibri" w:cs="Calibri"/>
          <w:lang w:val="en-US"/>
        </w:rPr>
        <w:t xml:space="preserve"> Electricity Highway</w:t>
      </w:r>
      <w:r w:rsidRPr="0042150C">
        <w:rPr>
          <w:rFonts w:ascii="Calibri" w:hAnsi="Calibri" w:cs="Calibri"/>
          <w:lang w:val="es-ES"/>
        </w:rPr>
        <w:t xml:space="preserve"> 2050.</w:t>
      </w:r>
    </w:p>
    <w:p w:rsidR="0042150C" w:rsidRPr="0042150C" w:rsidRDefault="0042150C" w:rsidP="0042150C">
      <w:pPr>
        <w:spacing w:after="180"/>
        <w:jc w:val="both"/>
        <w:rPr>
          <w:rFonts w:ascii="Calibri" w:hAnsi="Calibri" w:cs="Calibri"/>
          <w:i/>
          <w:lang w:val="es-ES"/>
        </w:rPr>
      </w:pPr>
      <w:r w:rsidRPr="0042150C">
        <w:rPr>
          <w:rFonts w:ascii="Calibri" w:hAnsi="Calibri" w:cs="Calibri"/>
          <w:i/>
          <w:lang w:val="es-ES"/>
        </w:rPr>
        <w:t xml:space="preserve">Tener una visión completa del sistema de transporte europeo es esencial para la consecución de los diferentes objetivos energéticos, como el desarrollo de energías renovables, la reducción de emisiones de CO2 o la consecución del mercado interior de la energía. Sin embargo, el </w:t>
      </w:r>
      <w:r w:rsidR="008A722E">
        <w:rPr>
          <w:rFonts w:ascii="Calibri" w:hAnsi="Calibri" w:cs="Calibri"/>
          <w:i/>
          <w:lang w:val="es-ES"/>
        </w:rPr>
        <w:t>e</w:t>
      </w:r>
      <w:r w:rsidRPr="0042150C">
        <w:rPr>
          <w:rFonts w:ascii="Calibri" w:hAnsi="Calibri" w:cs="Calibri"/>
          <w:i/>
          <w:lang w:val="es-ES"/>
        </w:rPr>
        <w:t>scenario principal, UE 2020, se basa en los</w:t>
      </w:r>
      <w:r w:rsidRPr="00610306">
        <w:rPr>
          <w:rFonts w:ascii="Calibri" w:hAnsi="Calibri" w:cs="Calibri"/>
          <w:i/>
          <w:lang w:val="en-US"/>
        </w:rPr>
        <w:t xml:space="preserve"> PANERs</w:t>
      </w:r>
      <w:r w:rsidRPr="0042150C">
        <w:rPr>
          <w:rFonts w:ascii="Calibri" w:hAnsi="Calibri" w:cs="Calibri"/>
          <w:i/>
          <w:lang w:val="es-ES"/>
        </w:rPr>
        <w:t xml:space="preserve"> nacionales que se confeccionaron de acuerdo a previsiones económicas más altas que las actuales, por lo que podría ser ahora </w:t>
      </w:r>
      <w:r w:rsidR="00B40B75">
        <w:rPr>
          <w:rFonts w:ascii="Calibri" w:hAnsi="Calibri" w:cs="Calibri"/>
          <w:i/>
          <w:lang w:val="es-ES"/>
        </w:rPr>
        <w:t xml:space="preserve">un </w:t>
      </w:r>
      <w:r w:rsidRPr="0042150C">
        <w:rPr>
          <w:rFonts w:ascii="Calibri" w:hAnsi="Calibri" w:cs="Calibri"/>
          <w:i/>
          <w:lang w:val="es-ES"/>
        </w:rPr>
        <w:t>escenario poco realista. Para el caso español, es destacable que, a pesar de las inversiones planteadas en la interconexión con Francia, en 2020 esta interconexión sufrirá congestiones el 50% del tiempo y sólo se habrán conseguido 4 GW de interconexión, cuando en las conclusiones del Consejo Europeo de Barcelona</w:t>
      </w:r>
      <w:r w:rsidR="00DC7918">
        <w:rPr>
          <w:rStyle w:val="Refdenotaalpie"/>
          <w:i/>
          <w:lang w:val="es-ES"/>
        </w:rPr>
        <w:footnoteReference w:id="6"/>
      </w:r>
      <w:r w:rsidRPr="0042150C">
        <w:rPr>
          <w:rFonts w:ascii="Calibri" w:hAnsi="Calibri" w:cs="Calibri"/>
          <w:i/>
          <w:lang w:val="es-ES"/>
        </w:rPr>
        <w:t xml:space="preserve">  se establece que el  nivel de interconexiones eléctricas de los Estados Miembro será de al menos el 10 % de su capacidad de producción instalada.</w:t>
      </w:r>
    </w:p>
    <w:p w:rsidR="0042150C" w:rsidRPr="00B711BC" w:rsidRDefault="0042150C" w:rsidP="00F54FDE">
      <w:pPr>
        <w:spacing w:after="180"/>
        <w:ind w:left="567"/>
        <w:jc w:val="both"/>
        <w:rPr>
          <w:rFonts w:asciiTheme="minorHAnsi" w:hAnsiTheme="minorHAnsi"/>
          <w:sz w:val="20"/>
          <w:szCs w:val="20"/>
        </w:rPr>
      </w:pPr>
      <w:r w:rsidRPr="00B711BC">
        <w:rPr>
          <w:rFonts w:asciiTheme="minorHAnsi" w:hAnsiTheme="minorHAnsi" w:cs="Calibri"/>
          <w:b/>
          <w:sz w:val="20"/>
          <w:szCs w:val="20"/>
        </w:rPr>
        <w:t xml:space="preserve">Enlaces a fichas de “Energía y Sociedad” relacionadas: </w:t>
      </w:r>
      <w:hyperlink r:id="rId22" w:history="1">
        <w:r w:rsidRPr="00B711BC">
          <w:rPr>
            <w:rStyle w:val="Hipervnculo"/>
            <w:rFonts w:asciiTheme="minorHAnsi" w:hAnsiTheme="minorHAnsi" w:cs="Calibri"/>
            <w:sz w:val="20"/>
            <w:szCs w:val="20"/>
          </w:rPr>
          <w:t>Energías renovables:  tecnología,  economía, evolución e integración en el sistema eléctrico</w:t>
        </w:r>
      </w:hyperlink>
      <w:r w:rsidRPr="00B711BC">
        <w:rPr>
          <w:rFonts w:asciiTheme="minorHAnsi" w:hAnsiTheme="minorHAnsi" w:cs="Calibri"/>
          <w:sz w:val="20"/>
          <w:szCs w:val="20"/>
        </w:rPr>
        <w:t xml:space="preserve">, </w:t>
      </w:r>
      <w:hyperlink r:id="rId23" w:history="1">
        <w:r w:rsidRPr="00610306">
          <w:rPr>
            <w:rStyle w:val="Hipervnculo"/>
            <w:rFonts w:asciiTheme="minorHAnsi" w:hAnsiTheme="minorHAnsi" w:cs="Calibri"/>
            <w:sz w:val="20"/>
            <w:szCs w:val="20"/>
            <w:lang w:val="en-US"/>
          </w:rPr>
          <w:t>Renewable</w:t>
        </w:r>
        <w:r w:rsidRPr="00B711BC">
          <w:rPr>
            <w:rStyle w:val="Hipervnculo"/>
            <w:rFonts w:asciiTheme="minorHAnsi" w:hAnsiTheme="minorHAnsi" w:cs="Calibri"/>
            <w:sz w:val="20"/>
            <w:szCs w:val="20"/>
          </w:rPr>
          <w:t xml:space="preserve"> Electric</w:t>
        </w:r>
        <w:r w:rsidRPr="00610306">
          <w:rPr>
            <w:rStyle w:val="Hipervnculo"/>
            <w:rFonts w:asciiTheme="minorHAnsi" w:hAnsiTheme="minorHAnsi" w:cs="Calibri"/>
            <w:sz w:val="20"/>
            <w:szCs w:val="20"/>
            <w:lang w:val="en-US"/>
          </w:rPr>
          <w:t xml:space="preserve"> Energy Integration</w:t>
        </w:r>
        <w:r w:rsidRPr="00B711BC">
          <w:rPr>
            <w:rStyle w:val="Hipervnculo"/>
            <w:rFonts w:asciiTheme="minorHAnsi" w:hAnsiTheme="minorHAnsi" w:cs="Calibri"/>
            <w:sz w:val="20"/>
            <w:szCs w:val="20"/>
          </w:rPr>
          <w:t>:</w:t>
        </w:r>
        <w:r w:rsidRPr="00610306">
          <w:rPr>
            <w:rStyle w:val="Hipervnculo"/>
            <w:rFonts w:asciiTheme="minorHAnsi" w:hAnsiTheme="minorHAnsi" w:cs="Calibri"/>
            <w:sz w:val="20"/>
            <w:szCs w:val="20"/>
            <w:lang w:val="en-US"/>
          </w:rPr>
          <w:t xml:space="preserve"> Quantifying the Value</w:t>
        </w:r>
        <w:r w:rsidRPr="00B711BC">
          <w:rPr>
            <w:rStyle w:val="Hipervnculo"/>
            <w:rFonts w:asciiTheme="minorHAnsi" w:hAnsiTheme="minorHAnsi" w:cs="Calibri"/>
            <w:sz w:val="20"/>
            <w:szCs w:val="20"/>
          </w:rPr>
          <w:t xml:space="preserve"> of</w:t>
        </w:r>
        <w:r w:rsidRPr="00610306">
          <w:rPr>
            <w:rStyle w:val="Hipervnculo"/>
            <w:rFonts w:asciiTheme="minorHAnsi" w:hAnsiTheme="minorHAnsi" w:cs="Calibri"/>
            <w:sz w:val="20"/>
            <w:szCs w:val="20"/>
            <w:lang w:val="en-US"/>
          </w:rPr>
          <w:t xml:space="preserve"> Design</w:t>
        </w:r>
        <w:r w:rsidRPr="00B711BC">
          <w:rPr>
            <w:rStyle w:val="Hipervnculo"/>
            <w:rFonts w:asciiTheme="minorHAnsi" w:hAnsiTheme="minorHAnsi" w:cs="Calibri"/>
            <w:sz w:val="20"/>
            <w:szCs w:val="20"/>
          </w:rPr>
          <w:t xml:space="preserve"> of</w:t>
        </w:r>
        <w:r w:rsidRPr="00610306">
          <w:rPr>
            <w:rStyle w:val="Hipervnculo"/>
            <w:rFonts w:asciiTheme="minorHAnsi" w:hAnsiTheme="minorHAnsi" w:cs="Calibri"/>
            <w:sz w:val="20"/>
            <w:szCs w:val="20"/>
            <w:lang w:val="en-US"/>
          </w:rPr>
          <w:t xml:space="preserve"> Markets for</w:t>
        </w:r>
        <w:r w:rsidRPr="00B711BC">
          <w:rPr>
            <w:rStyle w:val="Hipervnculo"/>
            <w:rFonts w:asciiTheme="minorHAnsi" w:hAnsiTheme="minorHAnsi" w:cs="Calibri"/>
            <w:sz w:val="20"/>
            <w:szCs w:val="20"/>
          </w:rPr>
          <w:t xml:space="preserve"> International</w:t>
        </w:r>
        <w:r w:rsidRPr="00610306">
          <w:rPr>
            <w:rStyle w:val="Hipervnculo"/>
            <w:rFonts w:asciiTheme="minorHAnsi" w:hAnsiTheme="minorHAnsi" w:cs="Calibri"/>
            <w:sz w:val="20"/>
            <w:szCs w:val="20"/>
            <w:lang w:val="en-US"/>
          </w:rPr>
          <w:t xml:space="preserve"> Transmission Capacity</w:t>
        </w:r>
      </w:hyperlink>
      <w:r w:rsidRPr="00B711BC">
        <w:rPr>
          <w:rFonts w:asciiTheme="minorHAnsi" w:hAnsiTheme="minorHAnsi" w:cs="Calibri"/>
          <w:sz w:val="20"/>
          <w:szCs w:val="20"/>
        </w:rPr>
        <w:t xml:space="preserve">, </w:t>
      </w:r>
      <w:hyperlink r:id="rId24" w:history="1">
        <w:r w:rsidRPr="00B711BC">
          <w:rPr>
            <w:rStyle w:val="Hipervnculo"/>
            <w:rFonts w:asciiTheme="minorHAnsi" w:hAnsiTheme="minorHAnsi" w:cs="Calibri"/>
            <w:sz w:val="20"/>
            <w:szCs w:val="20"/>
          </w:rPr>
          <w:t>Plan de Acción Nacional de Energías Renovables (PANER) 2011-2020</w:t>
        </w:r>
      </w:hyperlink>
      <w:r w:rsidRPr="00B711BC">
        <w:rPr>
          <w:rFonts w:asciiTheme="minorHAnsi" w:hAnsiTheme="minorHAnsi" w:cs="Calibri"/>
          <w:sz w:val="20"/>
          <w:szCs w:val="20"/>
        </w:rPr>
        <w:t xml:space="preserve">, </w:t>
      </w:r>
      <w:hyperlink r:id="rId25" w:history="1">
        <w:r w:rsidRPr="00B711BC">
          <w:rPr>
            <w:rStyle w:val="Hipervnculo"/>
            <w:rFonts w:asciiTheme="minorHAnsi" w:hAnsiTheme="minorHAnsi" w:cs="Calibri"/>
            <w:sz w:val="20"/>
            <w:szCs w:val="20"/>
          </w:rPr>
          <w:t>La red eléctrica que viene</w:t>
        </w:r>
      </w:hyperlink>
    </w:p>
    <w:p w:rsidR="00E046C3" w:rsidRPr="00EF613B" w:rsidRDefault="00E046C3" w:rsidP="00E046C3">
      <w:pPr>
        <w:pBdr>
          <w:top w:val="single" w:sz="18" w:space="1" w:color="ECCC42"/>
          <w:bottom w:val="single" w:sz="18" w:space="1" w:color="ECCC42"/>
        </w:pBdr>
        <w:spacing w:before="480" w:after="720"/>
        <w:jc w:val="right"/>
        <w:rPr>
          <w:rFonts w:ascii="Calibri" w:hAnsi="Calibri" w:cs="Calibri"/>
          <w:sz w:val="2"/>
          <w:szCs w:val="2"/>
        </w:rPr>
      </w:pPr>
    </w:p>
    <w:p w:rsidR="007A02E2" w:rsidRPr="007A02E2" w:rsidRDefault="007A02E2" w:rsidP="007A02E2">
      <w:pPr>
        <w:keepNext/>
        <w:pBdr>
          <w:top w:val="single" w:sz="18" w:space="1" w:color="FFCC66"/>
          <w:left w:val="single" w:sz="18" w:space="4" w:color="FFCC66"/>
          <w:bottom w:val="single" w:sz="18" w:space="1" w:color="FFCC66"/>
          <w:right w:val="single" w:sz="18" w:space="4" w:color="FFCC66"/>
        </w:pBdr>
        <w:shd w:val="clear" w:color="auto" w:fill="FFCC66"/>
        <w:spacing w:after="480"/>
        <w:rPr>
          <w:rFonts w:ascii="Calibri" w:hAnsi="Calibri" w:cs="Calibri"/>
          <w:b/>
          <w:bCs/>
          <w:sz w:val="36"/>
          <w:szCs w:val="36"/>
          <w:lang w:val="es-ES"/>
        </w:rPr>
      </w:pPr>
      <w:r w:rsidRPr="007A02E2">
        <w:rPr>
          <w:rFonts w:ascii="Calibri" w:hAnsi="Calibri" w:cs="Calibri"/>
          <w:b/>
          <w:bCs/>
          <w:sz w:val="36"/>
          <w:szCs w:val="36"/>
          <w:lang w:val="es-ES"/>
        </w:rPr>
        <w:t>Reflexi</w:t>
      </w:r>
      <w:r>
        <w:rPr>
          <w:rFonts w:ascii="Calibri" w:hAnsi="Calibri" w:cs="Calibri"/>
          <w:b/>
          <w:bCs/>
          <w:sz w:val="36"/>
          <w:szCs w:val="36"/>
          <w:lang w:val="es-ES"/>
        </w:rPr>
        <w:t>ones</w:t>
      </w:r>
    </w:p>
    <w:p w:rsidR="00E046C3" w:rsidRPr="008F2433" w:rsidRDefault="00B40B75" w:rsidP="00E046C3">
      <w:pPr>
        <w:pStyle w:val="Sangradetextonormal"/>
        <w:keepNext/>
        <w:spacing w:before="240" w:after="360"/>
        <w:jc w:val="left"/>
        <w:rPr>
          <w:rFonts w:cs="Calibri"/>
          <w:b/>
          <w:bCs/>
          <w:i w:val="0"/>
          <w:iCs w:val="0"/>
          <w:sz w:val="28"/>
          <w:szCs w:val="28"/>
        </w:rPr>
      </w:pPr>
      <w:bookmarkStart w:id="4" w:name="Contenido3"/>
      <w:bookmarkEnd w:id="4"/>
      <w:r>
        <w:rPr>
          <w:rFonts w:cs="Calibri"/>
          <w:b/>
          <w:bCs/>
          <w:i w:val="0"/>
          <w:iCs w:val="0"/>
          <w:sz w:val="28"/>
          <w:szCs w:val="28"/>
        </w:rPr>
        <w:t>Informe de Eurelectric sobre el a</w:t>
      </w:r>
      <w:r w:rsidR="00E046C3" w:rsidRPr="008F2433">
        <w:rPr>
          <w:rFonts w:cs="Calibri"/>
          <w:b/>
          <w:bCs/>
          <w:i w:val="0"/>
          <w:iCs w:val="0"/>
          <w:sz w:val="28"/>
          <w:szCs w:val="28"/>
        </w:rPr>
        <w:t xml:space="preserve">lmacenamiento </w:t>
      </w:r>
      <w:r>
        <w:rPr>
          <w:rFonts w:cs="Calibri"/>
          <w:b/>
          <w:bCs/>
          <w:i w:val="0"/>
          <w:iCs w:val="0"/>
          <w:sz w:val="28"/>
          <w:szCs w:val="28"/>
        </w:rPr>
        <w:t>d</w:t>
      </w:r>
      <w:r w:rsidR="00E046C3" w:rsidRPr="008F2433">
        <w:rPr>
          <w:rFonts w:cs="Calibri"/>
          <w:b/>
          <w:bCs/>
          <w:i w:val="0"/>
          <w:iCs w:val="0"/>
          <w:sz w:val="28"/>
          <w:szCs w:val="28"/>
        </w:rPr>
        <w:t>escentralizado: impacto en las futuras redes de distribución</w:t>
      </w:r>
    </w:p>
    <w:p w:rsidR="00B710D7" w:rsidRPr="00EF613B" w:rsidRDefault="00B710D7" w:rsidP="00B710D7">
      <w:pPr>
        <w:pBdr>
          <w:top w:val="single" w:sz="8" w:space="1" w:color="FFCC66"/>
          <w:left w:val="single" w:sz="8" w:space="4" w:color="FFCC66"/>
          <w:bottom w:val="single" w:sz="8" w:space="1" w:color="FFCC66"/>
          <w:right w:val="single" w:sz="8" w:space="5" w:color="FFCC66"/>
        </w:pBdr>
        <w:shd w:val="clear" w:color="auto" w:fill="FFFFCC"/>
        <w:spacing w:after="180"/>
        <w:jc w:val="both"/>
        <w:rPr>
          <w:rFonts w:ascii="Calibri" w:hAnsi="Calibri" w:cs="Calibri"/>
          <w:i/>
          <w:iCs/>
          <w:lang w:val="es-ES"/>
        </w:rPr>
      </w:pPr>
      <w:r>
        <w:rPr>
          <w:rFonts w:ascii="Calibri" w:hAnsi="Calibri" w:cs="Calibri"/>
          <w:i/>
          <w:iCs/>
          <w:lang w:val="es-ES"/>
        </w:rPr>
        <w:t xml:space="preserve">Este informe publicado por Eurelectric analiza </w:t>
      </w:r>
      <w:r w:rsidR="00C2266E" w:rsidRPr="00C2266E">
        <w:rPr>
          <w:rFonts w:ascii="Calibri" w:hAnsi="Calibri" w:cs="Calibri"/>
          <w:i/>
          <w:iCs/>
          <w:lang w:val="es-ES"/>
        </w:rPr>
        <w:t>el papel futuro del almacenamiento descentralizado de electricidad, analizando su impacto en las redes de distribución y su implicación en el negocio de los distribuidores</w:t>
      </w:r>
    </w:p>
    <w:p w:rsidR="00B710D7" w:rsidRPr="00835ABD" w:rsidRDefault="00B710D7" w:rsidP="00B710D7">
      <w:pPr>
        <w:pBdr>
          <w:top w:val="single" w:sz="8" w:space="1" w:color="FFCC66"/>
          <w:left w:val="single" w:sz="8" w:space="4" w:color="FFCC66"/>
          <w:bottom w:val="single" w:sz="8" w:space="1" w:color="FFCC66"/>
          <w:right w:val="single" w:sz="8" w:space="5" w:color="FFCC66"/>
        </w:pBdr>
        <w:shd w:val="clear" w:color="auto" w:fill="FFFFCC"/>
        <w:spacing w:before="120" w:after="360"/>
        <w:jc w:val="both"/>
        <w:rPr>
          <w:rFonts w:ascii="Calibri" w:hAnsi="Calibri" w:cs="Calibri"/>
          <w:i/>
          <w:sz w:val="20"/>
          <w:lang w:val="en-US"/>
        </w:rPr>
      </w:pPr>
      <w:r w:rsidRPr="00475F1C">
        <w:rPr>
          <w:rFonts w:ascii="Calibri" w:hAnsi="Calibri" w:cs="Calibri"/>
          <w:i/>
          <w:sz w:val="20"/>
          <w:lang w:val="en-US"/>
        </w:rPr>
        <w:t xml:space="preserve">Enlace: </w:t>
      </w:r>
      <w:hyperlink r:id="rId26" w:history="1">
        <w:r w:rsidR="00610306" w:rsidRPr="00475F1C">
          <w:rPr>
            <w:rStyle w:val="Hipervnculo"/>
            <w:rFonts w:ascii="Calibri" w:hAnsi="Calibri" w:cs="Calibri"/>
            <w:i/>
            <w:sz w:val="20"/>
            <w:lang w:val="en-US"/>
          </w:rPr>
          <w:t>Decentralized</w:t>
        </w:r>
        <w:r w:rsidRPr="00475F1C">
          <w:rPr>
            <w:rStyle w:val="Hipervnculo"/>
            <w:rFonts w:ascii="Calibri" w:hAnsi="Calibri" w:cs="Calibri"/>
            <w:i/>
            <w:sz w:val="20"/>
            <w:lang w:val="en-US"/>
          </w:rPr>
          <w:t xml:space="preserve"> Storage: Impact on future distribution grids</w:t>
        </w:r>
      </w:hyperlink>
    </w:p>
    <w:p w:rsidR="00B710D7" w:rsidRPr="00B710D7" w:rsidRDefault="00B710D7" w:rsidP="00B710D7">
      <w:pPr>
        <w:pStyle w:val="Sangradetextonormal"/>
        <w:spacing w:before="240" w:after="360"/>
        <w:rPr>
          <w:rFonts w:cs="Calibri"/>
          <w:i w:val="0"/>
          <w:iCs w:val="0"/>
        </w:rPr>
      </w:pPr>
      <w:r w:rsidRPr="00B710D7">
        <w:rPr>
          <w:rFonts w:cs="Calibri"/>
          <w:i w:val="0"/>
          <w:iCs w:val="0"/>
        </w:rPr>
        <w:t xml:space="preserve">El almacenamiento eléctrico está adquiriendo cada vez más protagonismo </w:t>
      </w:r>
      <w:r w:rsidR="00B40B75">
        <w:rPr>
          <w:rFonts w:cs="Calibri"/>
          <w:i w:val="0"/>
          <w:iCs w:val="0"/>
        </w:rPr>
        <w:t xml:space="preserve"> por </w:t>
      </w:r>
      <w:r w:rsidRPr="00B710D7">
        <w:rPr>
          <w:rFonts w:cs="Calibri"/>
          <w:i w:val="0"/>
          <w:iCs w:val="0"/>
        </w:rPr>
        <w:t xml:space="preserve">el desarrollo de las energías renovables y de la generación distribuida como medio de reducir las emisiones de CO2, mejorar la estabilidad de la red y controlar las fluctuaciones de las energías renovables. </w:t>
      </w:r>
    </w:p>
    <w:p w:rsidR="00B710D7" w:rsidRPr="00B710D7" w:rsidRDefault="00B710D7" w:rsidP="00B710D7">
      <w:pPr>
        <w:pStyle w:val="Sangradetextonormal"/>
        <w:spacing w:before="240" w:after="360"/>
        <w:rPr>
          <w:rFonts w:cs="Calibri"/>
          <w:i w:val="0"/>
          <w:iCs w:val="0"/>
        </w:rPr>
      </w:pPr>
      <w:r w:rsidRPr="00B710D7">
        <w:rPr>
          <w:rFonts w:cs="Calibri"/>
          <w:i w:val="0"/>
          <w:iCs w:val="0"/>
        </w:rPr>
        <w:t>Existen diferentes opciones para gestionar la variabilidad de las renovables, integrarlas en la red eléctrica y maximizar su beneficio: generación de respaldo (“back-up”), gestión de la demanda, interconexiones, herramientas del mercado y almacenamiento eléctrico. Este último ofrece la posibilidad de almacenar la energía eléctrica generada y utilizarla posteriormente cuando sea necesario ajustar oferta y demanda, aumentando por tanto la eficiencia y la flexibilidad del sistema. Resulta así esencial no sólo para absorber la expansión de las renovables, sino para garantizar la seguridad de suministro y aumentar la independencia energética.</w:t>
      </w:r>
    </w:p>
    <w:p w:rsidR="00B710D7" w:rsidRPr="00B710D7" w:rsidRDefault="00B710D7" w:rsidP="00B710D7">
      <w:pPr>
        <w:pStyle w:val="Sangradetextonormal"/>
        <w:spacing w:before="240" w:after="360"/>
        <w:rPr>
          <w:rFonts w:cs="Calibri"/>
          <w:i w:val="0"/>
          <w:iCs w:val="0"/>
        </w:rPr>
      </w:pPr>
      <w:r w:rsidRPr="00B710D7">
        <w:rPr>
          <w:rFonts w:cs="Calibri"/>
          <w:i w:val="0"/>
          <w:iCs w:val="0"/>
        </w:rPr>
        <w:t xml:space="preserve">El bombeo es una forma </w:t>
      </w:r>
      <w:r w:rsidR="00B40B75">
        <w:rPr>
          <w:rFonts w:cs="Calibri"/>
          <w:i w:val="0"/>
          <w:iCs w:val="0"/>
        </w:rPr>
        <w:t xml:space="preserve">indirecta </w:t>
      </w:r>
      <w:r w:rsidRPr="00B710D7">
        <w:rPr>
          <w:rFonts w:cs="Calibri"/>
          <w:i w:val="0"/>
          <w:iCs w:val="0"/>
        </w:rPr>
        <w:t>de almacenar energía eléctrica, pero este sistema de almacenamiento centralizado de gran escala está limitado por las condiciones geográficas y por la aceptación pública.</w:t>
      </w:r>
    </w:p>
    <w:p w:rsidR="00B710D7" w:rsidRDefault="00B710D7" w:rsidP="00B710D7">
      <w:pPr>
        <w:pStyle w:val="Sangradetextonormal"/>
        <w:spacing w:before="240" w:after="360"/>
        <w:rPr>
          <w:rFonts w:cs="Calibri"/>
          <w:i w:val="0"/>
          <w:iCs w:val="0"/>
        </w:rPr>
      </w:pPr>
      <w:r w:rsidRPr="00B710D7">
        <w:rPr>
          <w:rFonts w:cs="Calibri"/>
          <w:i w:val="0"/>
          <w:iCs w:val="0"/>
        </w:rPr>
        <w:t>El almacenamiento descentralizado de pequeña escala ofrece nuevas posibilidades, y ha sido identificado como prioridad tecnológica en el desarrollo del sistema energético europeo bajo en emisiones de CO2, en línea con las políticas energéticas 2020 y 2050 de la UE.</w:t>
      </w:r>
    </w:p>
    <w:p w:rsidR="00131C79" w:rsidRDefault="00131C79" w:rsidP="00B710D7">
      <w:pPr>
        <w:pStyle w:val="Sangradetextonormal"/>
        <w:spacing w:before="240" w:after="360"/>
        <w:rPr>
          <w:rFonts w:cs="Calibri"/>
          <w:i w:val="0"/>
          <w:iCs w:val="0"/>
        </w:rPr>
      </w:pPr>
    </w:p>
    <w:p w:rsidR="00131C79" w:rsidRDefault="00131C79" w:rsidP="00B710D7">
      <w:pPr>
        <w:pStyle w:val="Sangradetextonormal"/>
        <w:spacing w:before="240" w:after="360"/>
        <w:rPr>
          <w:rFonts w:cs="Calibri"/>
          <w:i w:val="0"/>
          <w:iCs w:val="0"/>
        </w:rPr>
      </w:pPr>
    </w:p>
    <w:p w:rsidR="00B710D7" w:rsidRPr="00B710D7" w:rsidRDefault="00B710D7" w:rsidP="00B710D7">
      <w:pPr>
        <w:pStyle w:val="Sangradetextonormal"/>
        <w:spacing w:before="240" w:after="360"/>
        <w:rPr>
          <w:rFonts w:cs="Calibri"/>
          <w:i w:val="0"/>
          <w:iCs w:val="0"/>
        </w:rPr>
      </w:pPr>
      <w:r w:rsidRPr="00B710D7">
        <w:rPr>
          <w:rFonts w:cs="Calibri"/>
          <w:b/>
          <w:i w:val="0"/>
        </w:rPr>
        <w:t>Tipos de almacenamiento descentralizado en función del tiempo de descarga:</w:t>
      </w:r>
    </w:p>
    <w:p w:rsidR="00E046C3" w:rsidRDefault="00B710D7" w:rsidP="00B710D7">
      <w:pPr>
        <w:pStyle w:val="Sangradetextonormal"/>
        <w:spacing w:before="240" w:after="360"/>
        <w:jc w:val="center"/>
        <w:rPr>
          <w:rFonts w:cs="Calibri"/>
        </w:rPr>
      </w:pPr>
      <w:r w:rsidRPr="00B710D7">
        <w:rPr>
          <w:rFonts w:cs="Calibri"/>
          <w:noProof/>
        </w:rPr>
        <w:drawing>
          <wp:inline distT="0" distB="0" distL="0" distR="0">
            <wp:extent cx="3073400" cy="220950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082436" cy="2216005"/>
                    </a:xfrm>
                    <a:prstGeom prst="rect">
                      <a:avLst/>
                    </a:prstGeom>
                    <a:noFill/>
                    <a:ln w="9525">
                      <a:noFill/>
                      <a:miter lim="800000"/>
                      <a:headEnd/>
                      <a:tailEnd/>
                    </a:ln>
                  </pic:spPr>
                </pic:pic>
              </a:graphicData>
            </a:graphic>
          </wp:inline>
        </w:drawing>
      </w:r>
    </w:p>
    <w:p w:rsidR="00B710D7" w:rsidRDefault="00B710D7" w:rsidP="00B710D7">
      <w:pPr>
        <w:pStyle w:val="Sangradetextonormal"/>
        <w:spacing w:before="240" w:after="360"/>
        <w:jc w:val="center"/>
        <w:rPr>
          <w:rFonts w:cs="Calibri"/>
        </w:rPr>
      </w:pPr>
    </w:p>
    <w:p w:rsidR="00B710D7" w:rsidRPr="00B710D7" w:rsidRDefault="00B710D7" w:rsidP="00B710D7">
      <w:pPr>
        <w:pStyle w:val="Sangradetextonormal"/>
        <w:spacing w:before="240" w:after="360"/>
        <w:jc w:val="left"/>
        <w:rPr>
          <w:rFonts w:cs="Calibri"/>
          <w:b/>
          <w:i w:val="0"/>
        </w:rPr>
      </w:pPr>
      <w:r w:rsidRPr="00B710D7">
        <w:rPr>
          <w:rFonts w:cs="Calibri"/>
          <w:b/>
          <w:i w:val="0"/>
        </w:rPr>
        <w:t>Diferentes tipos de almacenamiento  en función de su coste y su estado de desarrollo:</w:t>
      </w:r>
    </w:p>
    <w:p w:rsidR="00B710D7" w:rsidRDefault="00B710D7" w:rsidP="00B710D7">
      <w:pPr>
        <w:pStyle w:val="Sangradetextonormal"/>
        <w:spacing w:before="240" w:after="360"/>
        <w:jc w:val="left"/>
        <w:rPr>
          <w:rFonts w:cs="Calibri"/>
          <w:b/>
        </w:rPr>
      </w:pPr>
      <w:r w:rsidRPr="00B710D7">
        <w:rPr>
          <w:rFonts w:cs="Calibri"/>
          <w:b/>
          <w:noProof/>
        </w:rPr>
        <w:drawing>
          <wp:inline distT="0" distB="0" distL="0" distR="0">
            <wp:extent cx="5784850" cy="3636192"/>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791516" cy="3640382"/>
                    </a:xfrm>
                    <a:prstGeom prst="rect">
                      <a:avLst/>
                    </a:prstGeom>
                    <a:noFill/>
                    <a:ln w="9525">
                      <a:noFill/>
                      <a:miter lim="800000"/>
                      <a:headEnd/>
                      <a:tailEnd/>
                    </a:ln>
                  </pic:spPr>
                </pic:pic>
              </a:graphicData>
            </a:graphic>
          </wp:inline>
        </w:drawing>
      </w:r>
    </w:p>
    <w:p w:rsidR="00B710D7" w:rsidRDefault="00B710D7" w:rsidP="00B710D7">
      <w:pPr>
        <w:pStyle w:val="Sangradetextonormal"/>
        <w:spacing w:before="240" w:after="360"/>
        <w:jc w:val="left"/>
        <w:rPr>
          <w:rFonts w:cs="Calibri"/>
          <w:i w:val="0"/>
        </w:rPr>
      </w:pPr>
      <w:r w:rsidRPr="00B710D7">
        <w:rPr>
          <w:rFonts w:cs="Calibri"/>
          <w:i w:val="0"/>
        </w:rPr>
        <w:t xml:space="preserve">El impacto del almacenamiento descentralizado en la red de distribución se traduce en las siguientes ventajas en el ámbito operacional de los </w:t>
      </w:r>
      <w:r w:rsidR="00B40B75">
        <w:rPr>
          <w:rFonts w:cs="Calibri"/>
          <w:i w:val="0"/>
        </w:rPr>
        <w:t>operadores de los sistemas de distribución</w:t>
      </w:r>
      <w:r w:rsidRPr="00B710D7">
        <w:rPr>
          <w:rFonts w:cs="Calibri"/>
          <w:i w:val="0"/>
        </w:rPr>
        <w:t xml:space="preserve"> (en adelante </w:t>
      </w:r>
      <w:proofErr w:type="gramStart"/>
      <w:r w:rsidR="00B40B75">
        <w:rPr>
          <w:rFonts w:cs="Calibri"/>
          <w:i w:val="0"/>
        </w:rPr>
        <w:t>OSD</w:t>
      </w:r>
      <w:r w:rsidRPr="00B710D7">
        <w:rPr>
          <w:rFonts w:cs="Calibri"/>
          <w:i w:val="0"/>
        </w:rPr>
        <w:t>s )</w:t>
      </w:r>
      <w:proofErr w:type="gramEnd"/>
      <w:r w:rsidRPr="00B710D7">
        <w:rPr>
          <w:rFonts w:cs="Calibri"/>
          <w:i w:val="0"/>
        </w:rPr>
        <w:t>:</w:t>
      </w:r>
    </w:p>
    <w:p w:rsidR="00B710D7" w:rsidRPr="00287DF9" w:rsidRDefault="00B710D7" w:rsidP="00B710D7">
      <w:pPr>
        <w:pStyle w:val="Prrafodelista"/>
        <w:numPr>
          <w:ilvl w:val="0"/>
          <w:numId w:val="3"/>
        </w:numPr>
        <w:spacing w:after="200" w:line="276" w:lineRule="auto"/>
        <w:jc w:val="both"/>
        <w:rPr>
          <w:rFonts w:ascii="Calibri" w:hAnsi="Calibri" w:cs="Calibri"/>
          <w:lang w:val="es-ES"/>
        </w:rPr>
      </w:pPr>
      <w:r w:rsidRPr="00287DF9">
        <w:rPr>
          <w:rFonts w:ascii="Calibri" w:hAnsi="Calibri" w:cs="Calibri"/>
          <w:u w:val="single"/>
          <w:lang w:val="es-ES"/>
        </w:rPr>
        <w:t>Gestión de</w:t>
      </w:r>
      <w:r w:rsidR="00B40B75">
        <w:rPr>
          <w:rFonts w:ascii="Calibri" w:hAnsi="Calibri" w:cs="Calibri"/>
          <w:u w:val="single"/>
          <w:lang w:val="es-ES"/>
        </w:rPr>
        <w:t xml:space="preserve"> </w:t>
      </w:r>
      <w:r w:rsidRPr="00287DF9">
        <w:rPr>
          <w:rFonts w:ascii="Calibri" w:hAnsi="Calibri" w:cs="Calibri"/>
          <w:u w:val="single"/>
          <w:lang w:val="es-ES"/>
        </w:rPr>
        <w:t>l</w:t>
      </w:r>
      <w:r w:rsidR="00B40B75">
        <w:rPr>
          <w:rFonts w:ascii="Calibri" w:hAnsi="Calibri" w:cs="Calibri"/>
          <w:u w:val="single"/>
          <w:lang w:val="es-ES"/>
        </w:rPr>
        <w:t>a</w:t>
      </w:r>
      <w:r w:rsidRPr="00287DF9">
        <w:rPr>
          <w:rFonts w:ascii="Calibri" w:hAnsi="Calibri" w:cs="Calibri"/>
          <w:u w:val="single"/>
          <w:lang w:val="es-ES"/>
        </w:rPr>
        <w:t xml:space="preserve"> energía:</w:t>
      </w:r>
      <w:r w:rsidRPr="00287DF9">
        <w:rPr>
          <w:rFonts w:ascii="Calibri" w:hAnsi="Calibri" w:cs="Calibri"/>
          <w:lang w:val="es-ES"/>
        </w:rPr>
        <w:t xml:space="preserve"> desacopla en el tiempo la oferta y la demanda (gestión de la demanda, aplazamiento de las inversiones en activos de distribución, suaviza la demanda punta)</w:t>
      </w:r>
      <w:r w:rsidR="001D0292">
        <w:rPr>
          <w:rFonts w:ascii="Calibri" w:hAnsi="Calibri" w:cs="Calibri"/>
          <w:lang w:val="es-ES"/>
        </w:rPr>
        <w:t>.</w:t>
      </w:r>
    </w:p>
    <w:p w:rsidR="00B710D7" w:rsidRPr="00287DF9" w:rsidRDefault="00B710D7" w:rsidP="00B710D7">
      <w:pPr>
        <w:pStyle w:val="Prrafodelista"/>
        <w:numPr>
          <w:ilvl w:val="0"/>
          <w:numId w:val="3"/>
        </w:numPr>
        <w:spacing w:after="200" w:line="276" w:lineRule="auto"/>
        <w:jc w:val="both"/>
        <w:rPr>
          <w:rFonts w:ascii="Calibri" w:hAnsi="Calibri" w:cs="Calibri"/>
          <w:lang w:val="es-ES"/>
        </w:rPr>
      </w:pPr>
      <w:r w:rsidRPr="00287DF9">
        <w:rPr>
          <w:rFonts w:ascii="Calibri" w:hAnsi="Calibri" w:cs="Calibri"/>
          <w:u w:val="single"/>
          <w:lang w:val="es-ES"/>
        </w:rPr>
        <w:t>Servicios del sistema:</w:t>
      </w:r>
      <w:r w:rsidRPr="00287DF9">
        <w:rPr>
          <w:rFonts w:ascii="Calibri" w:hAnsi="Calibri" w:cs="Calibri"/>
          <w:lang w:val="es-ES"/>
        </w:rPr>
        <w:t xml:space="preserve"> </w:t>
      </w:r>
      <w:r>
        <w:rPr>
          <w:rFonts w:ascii="Calibri" w:hAnsi="Calibri" w:cs="Calibri"/>
          <w:lang w:val="es-ES"/>
        </w:rPr>
        <w:t>mejora</w:t>
      </w:r>
      <w:r w:rsidRPr="00287DF9">
        <w:rPr>
          <w:rFonts w:ascii="Calibri" w:hAnsi="Calibri" w:cs="Calibri"/>
          <w:lang w:val="es-ES"/>
        </w:rPr>
        <w:t xml:space="preserve"> la calidad del servicio y garantiza la seguridad de suministro en el sistema eléctrico (operación del sistema en modo anti-isla, control de la frecuencia, gestión de las congestiones, gestión de la capacidad firme, gestión de la calidad del suministro</w:t>
      </w:r>
      <w:r w:rsidR="001D0292">
        <w:rPr>
          <w:rFonts w:ascii="Calibri" w:hAnsi="Calibri" w:cs="Calibri"/>
          <w:lang w:val="es-ES"/>
        </w:rPr>
        <w:t xml:space="preserve"> y</w:t>
      </w:r>
      <w:r w:rsidRPr="00287DF9">
        <w:rPr>
          <w:rFonts w:ascii="Calibri" w:hAnsi="Calibri" w:cs="Calibri"/>
          <w:lang w:val="es-ES"/>
        </w:rPr>
        <w:t xml:space="preserve"> gestión de la demanda)</w:t>
      </w:r>
      <w:r w:rsidR="001D0292">
        <w:rPr>
          <w:rFonts w:ascii="Calibri" w:hAnsi="Calibri" w:cs="Calibri"/>
          <w:lang w:val="es-ES"/>
        </w:rPr>
        <w:t>.</w:t>
      </w:r>
    </w:p>
    <w:p w:rsidR="00B710D7" w:rsidRPr="00287DF9" w:rsidRDefault="001D0292" w:rsidP="00B710D7">
      <w:pPr>
        <w:pStyle w:val="Prrafodelista"/>
        <w:numPr>
          <w:ilvl w:val="0"/>
          <w:numId w:val="3"/>
        </w:numPr>
        <w:spacing w:after="200" w:line="276" w:lineRule="auto"/>
        <w:jc w:val="both"/>
        <w:rPr>
          <w:rFonts w:ascii="Calibri" w:hAnsi="Calibri" w:cs="Calibri"/>
          <w:lang w:val="es-ES"/>
        </w:rPr>
      </w:pPr>
      <w:r>
        <w:rPr>
          <w:rFonts w:ascii="Calibri" w:hAnsi="Calibri" w:cs="Calibri"/>
          <w:u w:val="single"/>
          <w:lang w:val="es-ES"/>
        </w:rPr>
        <w:t>Servicios de los sistemas de distribución</w:t>
      </w:r>
      <w:r w:rsidR="00B710D7" w:rsidRPr="00287DF9">
        <w:rPr>
          <w:rFonts w:ascii="Calibri" w:hAnsi="Calibri" w:cs="Calibri"/>
          <w:lang w:val="es-ES"/>
        </w:rPr>
        <w:t>: se utiliza para asegurar la estabilidad de la red y apoyar la gestión de la red de distribución (suaviza la curva de demanda, control de tensión a través de energía activa y reactiva)</w:t>
      </w:r>
    </w:p>
    <w:p w:rsidR="00B710D7" w:rsidRPr="00B710D7" w:rsidRDefault="00B710D7" w:rsidP="00B710D7">
      <w:pPr>
        <w:pStyle w:val="Sangradetextonormal"/>
        <w:spacing w:before="240" w:after="360"/>
        <w:rPr>
          <w:rFonts w:cs="Calibri"/>
          <w:i w:val="0"/>
        </w:rPr>
      </w:pPr>
      <w:r w:rsidRPr="00B710D7">
        <w:rPr>
          <w:rFonts w:cs="Calibri"/>
          <w:i w:val="0"/>
        </w:rPr>
        <w:t>Eurelectric realiza las siguientes recomendaciones de cara al desarrollo del almacenamiento descentralizado:</w:t>
      </w:r>
    </w:p>
    <w:p w:rsidR="00B710D7" w:rsidRPr="00B710D7" w:rsidRDefault="00B710D7" w:rsidP="00B710D7">
      <w:pPr>
        <w:pStyle w:val="Sangradetextonormal"/>
        <w:spacing w:before="240" w:after="360"/>
        <w:rPr>
          <w:rFonts w:cs="Calibri"/>
          <w:i w:val="0"/>
        </w:rPr>
      </w:pPr>
      <w:r w:rsidRPr="00B710D7">
        <w:rPr>
          <w:rFonts w:cs="Calibri"/>
          <w:b/>
          <w:i w:val="0"/>
        </w:rPr>
        <w:t>1. El almacenamiento descentralizado debería verse como parte del desarrollo de un sistema eléctrico más inteligente</w:t>
      </w:r>
    </w:p>
    <w:p w:rsidR="00B710D7" w:rsidRPr="00B710D7" w:rsidRDefault="00B710D7" w:rsidP="00B710D7">
      <w:pPr>
        <w:pStyle w:val="Sangradetextonormal"/>
        <w:spacing w:before="240" w:after="360"/>
        <w:rPr>
          <w:rFonts w:cs="Calibri"/>
          <w:i w:val="0"/>
        </w:rPr>
      </w:pPr>
      <w:r w:rsidRPr="00B710D7">
        <w:rPr>
          <w:rFonts w:cs="Calibri"/>
          <w:i w:val="0"/>
        </w:rPr>
        <w:t>El almacenamiento descentralizado permitirá una mejor integración de las renovables y de la generación distribuida en la</w:t>
      </w:r>
      <w:r w:rsidR="001D0292">
        <w:rPr>
          <w:rFonts w:cs="Calibri"/>
          <w:i w:val="0"/>
        </w:rPr>
        <w:t>s</w:t>
      </w:r>
      <w:r w:rsidRPr="00B710D7">
        <w:rPr>
          <w:rFonts w:cs="Calibri"/>
          <w:i w:val="0"/>
        </w:rPr>
        <w:t xml:space="preserve"> red</w:t>
      </w:r>
      <w:r w:rsidR="001D0292">
        <w:rPr>
          <w:rFonts w:cs="Calibri"/>
          <w:i w:val="0"/>
        </w:rPr>
        <w:t>es de distribución</w:t>
      </w:r>
      <w:r w:rsidRPr="00B710D7">
        <w:rPr>
          <w:rFonts w:cs="Calibri"/>
          <w:i w:val="0"/>
        </w:rPr>
        <w:t xml:space="preserve">. El marco regulatorio necesita incentivar a los DSO para que innoven e inviertan en </w:t>
      </w:r>
      <w:hyperlink r:id="rId29" w:history="1">
        <w:r w:rsidRPr="00BB605F">
          <w:rPr>
            <w:rStyle w:val="Hipervnculo"/>
            <w:rFonts w:ascii="Calibri" w:hAnsi="Calibri" w:cs="Calibri"/>
            <w:i w:val="0"/>
          </w:rPr>
          <w:t>smart grids</w:t>
        </w:r>
      </w:hyperlink>
      <w:r w:rsidRPr="00B710D7">
        <w:rPr>
          <w:rFonts w:cs="Calibri"/>
          <w:i w:val="0"/>
        </w:rPr>
        <w:t>, que son necesarias para la implantación del almacenamiento descentralizado.</w:t>
      </w:r>
    </w:p>
    <w:p w:rsidR="00B710D7" w:rsidRPr="00B710D7" w:rsidRDefault="00B710D7" w:rsidP="00B710D7">
      <w:pPr>
        <w:pStyle w:val="Sangradetextonormal"/>
        <w:spacing w:before="240" w:after="360"/>
        <w:rPr>
          <w:rFonts w:cs="Calibri"/>
          <w:i w:val="0"/>
        </w:rPr>
      </w:pPr>
      <w:r w:rsidRPr="00B710D7">
        <w:rPr>
          <w:rFonts w:cs="Calibri"/>
          <w:b/>
          <w:i w:val="0"/>
        </w:rPr>
        <w:t xml:space="preserve">2. El almacenamiento descentralizado podría servir a los agentes del mercado y a los </w:t>
      </w:r>
      <w:r w:rsidR="00780496">
        <w:rPr>
          <w:rFonts w:cs="Calibri"/>
          <w:b/>
          <w:i w:val="0"/>
        </w:rPr>
        <w:t>OSD</w:t>
      </w:r>
      <w:r w:rsidRPr="00B710D7">
        <w:rPr>
          <w:rFonts w:cs="Calibri"/>
          <w:b/>
          <w:i w:val="0"/>
        </w:rPr>
        <w:t>s – hay que diseñar los modelos de mercado, los roles y responsabilidades de los agentes</w:t>
      </w:r>
    </w:p>
    <w:p w:rsidR="00C00AD6" w:rsidRDefault="00B710D7" w:rsidP="00B710D7">
      <w:pPr>
        <w:pStyle w:val="Sangradetextonormal"/>
        <w:spacing w:before="240" w:after="360"/>
        <w:rPr>
          <w:rFonts w:cs="Calibri"/>
          <w:i w:val="0"/>
        </w:rPr>
      </w:pPr>
      <w:r w:rsidRPr="00B710D7">
        <w:rPr>
          <w:rFonts w:cs="Calibri"/>
          <w:i w:val="0"/>
        </w:rPr>
        <w:t>El almacenamiento descentralizado aporta beneficios para todo el mercado energético (generadores, TSOs</w:t>
      </w:r>
      <w:r>
        <w:rPr>
          <w:rStyle w:val="Refdenotaalpie"/>
          <w:i w:val="0"/>
        </w:rPr>
        <w:footnoteReference w:id="7"/>
      </w:r>
      <w:r w:rsidRPr="00B710D7">
        <w:rPr>
          <w:rFonts w:cs="Calibri"/>
          <w:i w:val="0"/>
        </w:rPr>
        <w:t xml:space="preserve">, </w:t>
      </w:r>
      <w:r w:rsidR="005E062B">
        <w:rPr>
          <w:rFonts w:cs="Calibri"/>
          <w:i w:val="0"/>
        </w:rPr>
        <w:t>OSD</w:t>
      </w:r>
      <w:r w:rsidR="005E062B" w:rsidRPr="00B710D7">
        <w:rPr>
          <w:rFonts w:cs="Calibri"/>
          <w:i w:val="0"/>
        </w:rPr>
        <w:t>s</w:t>
      </w:r>
      <w:r w:rsidRPr="00B710D7">
        <w:rPr>
          <w:rFonts w:cs="Calibri"/>
          <w:i w:val="0"/>
        </w:rPr>
        <w:t xml:space="preserve">, </w:t>
      </w:r>
      <w:r w:rsidR="001D0292">
        <w:rPr>
          <w:rFonts w:cs="Calibri"/>
          <w:i w:val="0"/>
        </w:rPr>
        <w:t xml:space="preserve">operadores </w:t>
      </w:r>
      <w:r w:rsidRPr="00B710D7">
        <w:rPr>
          <w:rFonts w:cs="Calibri"/>
          <w:i w:val="0"/>
        </w:rPr>
        <w:t>mayoristas, comercia</w:t>
      </w:r>
      <w:r w:rsidR="001D0292">
        <w:rPr>
          <w:rFonts w:cs="Calibri"/>
          <w:i w:val="0"/>
        </w:rPr>
        <w:t>lizadores…</w:t>
      </w:r>
      <w:r w:rsidRPr="00B710D7">
        <w:rPr>
          <w:rFonts w:cs="Calibri"/>
          <w:i w:val="0"/>
        </w:rPr>
        <w:t>), lo que a su vez se traduce  en beneficios para el consumidor final</w:t>
      </w:r>
      <w:r w:rsidR="00C00AD6">
        <w:rPr>
          <w:rFonts w:cs="Calibri"/>
          <w:i w:val="0"/>
        </w:rPr>
        <w:t>:</w:t>
      </w:r>
    </w:p>
    <w:p w:rsidR="00C00AD6" w:rsidRPr="00B82D26" w:rsidRDefault="00C00AD6" w:rsidP="00B82D26">
      <w:pPr>
        <w:pStyle w:val="Prrafodelista"/>
        <w:numPr>
          <w:ilvl w:val="0"/>
          <w:numId w:val="3"/>
        </w:numPr>
        <w:spacing w:after="200" w:line="276" w:lineRule="auto"/>
        <w:jc w:val="both"/>
        <w:rPr>
          <w:rFonts w:ascii="Calibri" w:hAnsi="Calibri" w:cs="Calibri"/>
          <w:lang w:val="es-ES"/>
        </w:rPr>
      </w:pPr>
      <w:r w:rsidRPr="00B82D26">
        <w:rPr>
          <w:rFonts w:ascii="Calibri" w:hAnsi="Calibri" w:cs="Calibri"/>
          <w:lang w:val="es-ES"/>
        </w:rPr>
        <w:t xml:space="preserve">Para los generadores: hace que la disponibilidad de las renovables sea mayor, mejora el factor de capacidad de las instalaciones de generación (optimizando el equilibrio entre oferta y demanda) y por tanto hace más económica la generación de electricidad </w:t>
      </w:r>
    </w:p>
    <w:p w:rsidR="00C00AD6" w:rsidRPr="00B82D26" w:rsidRDefault="00C00AD6" w:rsidP="00B82D26">
      <w:pPr>
        <w:pStyle w:val="Prrafodelista"/>
        <w:numPr>
          <w:ilvl w:val="0"/>
          <w:numId w:val="3"/>
        </w:numPr>
        <w:spacing w:after="200" w:line="276" w:lineRule="auto"/>
        <w:jc w:val="both"/>
        <w:rPr>
          <w:rFonts w:ascii="Calibri" w:hAnsi="Calibri" w:cs="Calibri"/>
          <w:lang w:val="es-ES"/>
        </w:rPr>
      </w:pPr>
      <w:r w:rsidRPr="00B82D26">
        <w:rPr>
          <w:rFonts w:ascii="Calibri" w:hAnsi="Calibri" w:cs="Calibri"/>
          <w:lang w:val="es-ES"/>
        </w:rPr>
        <w:t xml:space="preserve">TSO + </w:t>
      </w:r>
      <w:r w:rsidR="00B82D26" w:rsidRPr="00B82D26">
        <w:rPr>
          <w:rFonts w:ascii="Calibri" w:hAnsi="Calibri" w:cs="Calibri"/>
          <w:lang w:val="es-ES"/>
        </w:rPr>
        <w:t>OS</w:t>
      </w:r>
      <w:r w:rsidR="003C33D9">
        <w:rPr>
          <w:rFonts w:ascii="Calibri" w:hAnsi="Calibri" w:cs="Calibri"/>
          <w:lang w:val="es-ES"/>
        </w:rPr>
        <w:t>D</w:t>
      </w:r>
      <w:r w:rsidRPr="00B82D26">
        <w:rPr>
          <w:rFonts w:ascii="Calibri" w:hAnsi="Calibri" w:cs="Calibri"/>
          <w:lang w:val="es-ES"/>
        </w:rPr>
        <w:t>: aumenta el factor de utilización de las redes y difiere en el tiempo inversiones en las mismas, mejora técnica (control de tensión, calidad del suministro, gestión de las congestiones, gestión de capacidad firme), suaviza la curva de demanda punta</w:t>
      </w:r>
    </w:p>
    <w:p w:rsidR="00C00AD6" w:rsidRPr="00B82D26" w:rsidRDefault="00C00AD6" w:rsidP="00B82D26">
      <w:pPr>
        <w:pStyle w:val="Prrafodelista"/>
        <w:numPr>
          <w:ilvl w:val="0"/>
          <w:numId w:val="3"/>
        </w:numPr>
        <w:spacing w:after="200" w:line="276" w:lineRule="auto"/>
        <w:jc w:val="both"/>
        <w:rPr>
          <w:rFonts w:ascii="Calibri" w:hAnsi="Calibri" w:cs="Calibri"/>
          <w:lang w:val="es-ES"/>
        </w:rPr>
      </w:pPr>
      <w:r w:rsidRPr="00B82D26">
        <w:rPr>
          <w:rFonts w:ascii="Calibri" w:hAnsi="Calibri" w:cs="Calibri"/>
          <w:lang w:val="es-ES"/>
        </w:rPr>
        <w:t>Consumidores: garantiza la seguridad de suministro (reduce variabilidad de las renovables), mejora el servicio, hace el precio de la energía menos volátil,  mejora el autoconsumo maximizando la cantidad de electricidad autogenerada (para aquellos consumidores que tengan generación distribuida), facilita la gestión de la demanda desde la perspectiva de la respuesta del consumidor ante variaciones del precio de la electricidad</w:t>
      </w:r>
    </w:p>
    <w:p w:rsidR="00B82D26" w:rsidRPr="00B82D26" w:rsidRDefault="008A722E" w:rsidP="00B82D26">
      <w:pPr>
        <w:pStyle w:val="Prrafodelista"/>
        <w:numPr>
          <w:ilvl w:val="0"/>
          <w:numId w:val="3"/>
        </w:numPr>
        <w:spacing w:after="200" w:line="276" w:lineRule="auto"/>
        <w:jc w:val="both"/>
        <w:rPr>
          <w:rFonts w:asciiTheme="minorHAnsi" w:hAnsiTheme="minorHAnsi" w:cs="Calibri"/>
          <w:i/>
        </w:rPr>
      </w:pPr>
      <w:r>
        <w:rPr>
          <w:rFonts w:ascii="Calibri" w:hAnsi="Calibri" w:cs="Calibri"/>
          <w:lang w:val="es-ES"/>
        </w:rPr>
        <w:t>Comercializadores</w:t>
      </w:r>
      <w:r w:rsidR="00C00AD6" w:rsidRPr="00B82D26">
        <w:rPr>
          <w:rFonts w:ascii="Calibri" w:hAnsi="Calibri" w:cs="Calibri"/>
          <w:lang w:val="es-ES"/>
        </w:rPr>
        <w:t>/</w:t>
      </w:r>
      <w:r>
        <w:rPr>
          <w:rFonts w:ascii="Calibri" w:hAnsi="Calibri" w:cs="Calibri"/>
          <w:lang w:val="es-ES"/>
        </w:rPr>
        <w:t xml:space="preserve">operadores </w:t>
      </w:r>
      <w:r w:rsidR="00C00AD6" w:rsidRPr="00B82D26">
        <w:rPr>
          <w:rFonts w:ascii="Calibri" w:hAnsi="Calibri" w:cs="Calibri"/>
          <w:lang w:val="es-ES"/>
        </w:rPr>
        <w:t xml:space="preserve">mayoristas: se abre una nueva posibilidad de intercambio de electricidad, </w:t>
      </w:r>
      <w:r w:rsidR="00C00AD6" w:rsidRPr="00B82D26">
        <w:rPr>
          <w:rFonts w:asciiTheme="minorHAnsi" w:hAnsiTheme="minorHAnsi" w:cs="Calibri"/>
          <w:lang w:val="es-ES"/>
        </w:rPr>
        <w:t>contratos OTC</w:t>
      </w:r>
    </w:p>
    <w:p w:rsidR="00B710D7" w:rsidRPr="00B82D26" w:rsidRDefault="00B710D7" w:rsidP="00B82D26">
      <w:pPr>
        <w:spacing w:after="200" w:line="276" w:lineRule="auto"/>
        <w:ind w:left="76"/>
        <w:jc w:val="both"/>
        <w:rPr>
          <w:rFonts w:asciiTheme="minorHAnsi" w:hAnsiTheme="minorHAnsi" w:cs="Calibri"/>
          <w:i/>
        </w:rPr>
      </w:pPr>
      <w:r w:rsidRPr="00B82D26">
        <w:rPr>
          <w:rFonts w:asciiTheme="minorHAnsi" w:hAnsiTheme="minorHAnsi" w:cs="Calibri"/>
        </w:rPr>
        <w:t>Sin embargo, hasta el momento no se ha establecido ninguna estrategia ni política sobre cómo pueden incorporarse las tecnologías de almacenamiento descentralizado en la existente industria eléctrica ni sobre qué papel deben jugar los agentes.</w:t>
      </w:r>
    </w:p>
    <w:p w:rsidR="00B710D7" w:rsidRPr="00B710D7" w:rsidRDefault="00B82D26" w:rsidP="00B710D7">
      <w:pPr>
        <w:pStyle w:val="Sangradetextonormal"/>
        <w:spacing w:before="240" w:after="360"/>
        <w:rPr>
          <w:rFonts w:cs="Calibri"/>
          <w:i w:val="0"/>
        </w:rPr>
      </w:pPr>
      <w:r w:rsidRPr="00B82D26">
        <w:rPr>
          <w:rFonts w:cs="Calibri"/>
          <w:i w:val="0"/>
        </w:rPr>
        <w:t>El almacenamiento descentralizado no es un monopolio natural y por tanto su propiedad y operación debería ser responsabilidad de los agentes del mercado</w:t>
      </w:r>
      <w:r>
        <w:rPr>
          <w:rFonts w:cs="Calibri"/>
          <w:i w:val="0"/>
        </w:rPr>
        <w:t xml:space="preserve">. </w:t>
      </w:r>
      <w:r w:rsidR="00B710D7" w:rsidRPr="00B710D7">
        <w:rPr>
          <w:rFonts w:cs="Calibri"/>
          <w:i w:val="0"/>
        </w:rPr>
        <w:t>Dependiendo de la tecnología de almacenamiento y de los incentivos comerciales y regulatorios, los diferentes agentes utilizarán sus instalaciones de almacenamiento con fines bien</w:t>
      </w:r>
      <w:r>
        <w:rPr>
          <w:rFonts w:cs="Calibri"/>
          <w:i w:val="0"/>
        </w:rPr>
        <w:t>,</w:t>
      </w:r>
      <w:r w:rsidR="00B710D7" w:rsidRPr="00B710D7">
        <w:rPr>
          <w:rFonts w:cs="Calibri"/>
          <w:i w:val="0"/>
        </w:rPr>
        <w:t xml:space="preserve"> de gestión energética del mercado o bien</w:t>
      </w:r>
      <w:r>
        <w:rPr>
          <w:rFonts w:cs="Calibri"/>
          <w:i w:val="0"/>
        </w:rPr>
        <w:t>,</w:t>
      </w:r>
      <w:r w:rsidR="00B710D7" w:rsidRPr="00B710D7">
        <w:rPr>
          <w:rFonts w:cs="Calibri"/>
          <w:i w:val="0"/>
        </w:rPr>
        <w:t xml:space="preserve"> para proveer de servicios del sistema a la red de distribución.</w:t>
      </w:r>
    </w:p>
    <w:p w:rsidR="00B710D7" w:rsidRDefault="00B710D7" w:rsidP="00B710D7">
      <w:pPr>
        <w:pStyle w:val="Sangradetextonormal"/>
        <w:spacing w:before="240" w:after="360"/>
        <w:jc w:val="left"/>
        <w:rPr>
          <w:rFonts w:cs="Calibri"/>
          <w:b/>
          <w:i w:val="0"/>
        </w:rPr>
      </w:pPr>
      <w:r w:rsidRPr="00B710D7">
        <w:rPr>
          <w:rFonts w:cs="Calibri"/>
          <w:b/>
          <w:i w:val="0"/>
        </w:rPr>
        <w:t xml:space="preserve">3. El almacenamiento descentralizado </w:t>
      </w:r>
      <w:r w:rsidR="00684471">
        <w:rPr>
          <w:rFonts w:cs="Calibri"/>
          <w:b/>
          <w:i w:val="0"/>
        </w:rPr>
        <w:t xml:space="preserve">presenta todavía ciertas incertidumbres para saber si </w:t>
      </w:r>
      <w:r w:rsidRPr="00B710D7">
        <w:rPr>
          <w:rFonts w:cs="Calibri"/>
          <w:b/>
          <w:i w:val="0"/>
        </w:rPr>
        <w:t xml:space="preserve"> conseguir</w:t>
      </w:r>
      <w:r w:rsidR="00684471">
        <w:rPr>
          <w:rFonts w:cs="Calibri"/>
          <w:b/>
          <w:i w:val="0"/>
        </w:rPr>
        <w:t>á</w:t>
      </w:r>
      <w:r w:rsidRPr="00B710D7">
        <w:rPr>
          <w:rFonts w:cs="Calibri"/>
          <w:b/>
          <w:i w:val="0"/>
        </w:rPr>
        <w:t xml:space="preserve"> una red más eficiente y estable</w:t>
      </w:r>
    </w:p>
    <w:p w:rsidR="00B710D7" w:rsidRPr="00B710D7" w:rsidRDefault="00B710D7" w:rsidP="00B710D7">
      <w:pPr>
        <w:pStyle w:val="Sangradetextonormal"/>
        <w:spacing w:before="240" w:after="360"/>
        <w:rPr>
          <w:rFonts w:cs="Calibri"/>
          <w:i w:val="0"/>
        </w:rPr>
      </w:pPr>
      <w:r w:rsidRPr="00B710D7">
        <w:rPr>
          <w:rFonts w:cs="Calibri"/>
          <w:i w:val="0"/>
        </w:rPr>
        <w:t xml:space="preserve">La mayoría de las tecnologías de almacenamiento descentralizado no </w:t>
      </w:r>
      <w:r w:rsidR="001D0292">
        <w:rPr>
          <w:rFonts w:cs="Calibri"/>
          <w:i w:val="0"/>
        </w:rPr>
        <w:t>están</w:t>
      </w:r>
      <w:r w:rsidR="001D0292" w:rsidRPr="00B710D7">
        <w:rPr>
          <w:rFonts w:cs="Calibri"/>
          <w:i w:val="0"/>
        </w:rPr>
        <w:t xml:space="preserve"> </w:t>
      </w:r>
      <w:r w:rsidRPr="00B710D7">
        <w:rPr>
          <w:rFonts w:cs="Calibri"/>
          <w:i w:val="0"/>
        </w:rPr>
        <w:t xml:space="preserve">todavía maduras y están </w:t>
      </w:r>
      <w:r w:rsidR="001D0292">
        <w:rPr>
          <w:rFonts w:cs="Calibri"/>
          <w:i w:val="0"/>
        </w:rPr>
        <w:t>en</w:t>
      </w:r>
      <w:r w:rsidR="001D0292" w:rsidRPr="00B710D7">
        <w:rPr>
          <w:rFonts w:cs="Calibri"/>
          <w:i w:val="0"/>
        </w:rPr>
        <w:t xml:space="preserve"> </w:t>
      </w:r>
      <w:r w:rsidRPr="00B710D7">
        <w:rPr>
          <w:rFonts w:cs="Calibri"/>
          <w:i w:val="0"/>
        </w:rPr>
        <w:t xml:space="preserve">desarrollo. Es muy pronto para predecir su potencial contribución a la integración de las renovables y a garantizar la estabilidad de la red: no puede considerarse por tanto todavía que el almacenamiento será </w:t>
      </w:r>
      <w:r w:rsidR="001D0292">
        <w:rPr>
          <w:rFonts w:cs="Calibri"/>
          <w:i w:val="0"/>
        </w:rPr>
        <w:t>una solución óptima</w:t>
      </w:r>
      <w:r w:rsidRPr="00B710D7">
        <w:rPr>
          <w:rFonts w:cs="Calibri"/>
          <w:i w:val="0"/>
        </w:rPr>
        <w:t xml:space="preserve"> para afrontar todos los retos del futuro.</w:t>
      </w:r>
    </w:p>
    <w:p w:rsidR="00B710D7" w:rsidRPr="00B710D7" w:rsidRDefault="00B710D7" w:rsidP="00B710D7">
      <w:pPr>
        <w:pStyle w:val="Sangradetextonormal"/>
        <w:spacing w:before="240" w:after="360"/>
        <w:rPr>
          <w:rFonts w:cs="Calibri"/>
          <w:i w:val="0"/>
        </w:rPr>
      </w:pPr>
      <w:r w:rsidRPr="00B710D7">
        <w:rPr>
          <w:rFonts w:cs="Calibri"/>
          <w:i w:val="0"/>
        </w:rPr>
        <w:t xml:space="preserve">El desarrollo del almacenamiento descentralizado afronta todavía </w:t>
      </w:r>
      <w:r w:rsidR="001D0292">
        <w:rPr>
          <w:rFonts w:cs="Calibri"/>
          <w:i w:val="0"/>
        </w:rPr>
        <w:t xml:space="preserve">importantes </w:t>
      </w:r>
      <w:r w:rsidRPr="00B710D7">
        <w:rPr>
          <w:rFonts w:cs="Calibri"/>
          <w:i w:val="0"/>
        </w:rPr>
        <w:t>incertidumbre</w:t>
      </w:r>
      <w:r w:rsidR="001D0292">
        <w:rPr>
          <w:rFonts w:cs="Calibri"/>
          <w:i w:val="0"/>
        </w:rPr>
        <w:t>s</w:t>
      </w:r>
      <w:r w:rsidRPr="00B710D7">
        <w:rPr>
          <w:rFonts w:cs="Calibri"/>
          <w:i w:val="0"/>
        </w:rPr>
        <w:t>: por tanto no debe ser ni favorecida ni desfavorecida en comparación con otras opciones de flexibilidad, tales como gestión de la demanda, generación flexible o, en casos limitados, el vertido de energías renovables.</w:t>
      </w:r>
    </w:p>
    <w:p w:rsidR="00B710D7" w:rsidRPr="00B710D7" w:rsidRDefault="00B710D7" w:rsidP="00B710D7">
      <w:pPr>
        <w:pStyle w:val="Sangradetextonormal"/>
        <w:spacing w:before="240" w:after="360"/>
        <w:rPr>
          <w:rFonts w:cs="Calibri"/>
          <w:i w:val="0"/>
        </w:rPr>
      </w:pPr>
      <w:r w:rsidRPr="00B710D7">
        <w:rPr>
          <w:rFonts w:cs="Calibri"/>
          <w:i w:val="0"/>
        </w:rPr>
        <w:t xml:space="preserve">Aunque los objetivos renovables a 2020 pueden alcanzarse sin almacenamiento descentralizado, el desarrollo de sistemas de almacenamiento energético que sean flexibles y eficientes en costes contribuiría a alcanzar los objetivos renovables a costes más reducidos y con mayor flexibilidad en la red. Eurelectric </w:t>
      </w:r>
      <w:r w:rsidR="00B82D26">
        <w:rPr>
          <w:rFonts w:cs="Calibri"/>
          <w:i w:val="0"/>
        </w:rPr>
        <w:t>insta</w:t>
      </w:r>
      <w:r w:rsidRPr="00B710D7">
        <w:rPr>
          <w:rFonts w:cs="Calibri"/>
          <w:i w:val="0"/>
        </w:rPr>
        <w:t xml:space="preserve"> a la </w:t>
      </w:r>
      <w:r w:rsidR="00005B6D" w:rsidRPr="00B710D7">
        <w:rPr>
          <w:rFonts w:cs="Calibri"/>
          <w:i w:val="0"/>
        </w:rPr>
        <w:t>C</w:t>
      </w:r>
      <w:r w:rsidR="00005B6D">
        <w:rPr>
          <w:rFonts w:cs="Calibri"/>
          <w:i w:val="0"/>
        </w:rPr>
        <w:t xml:space="preserve">omisión </w:t>
      </w:r>
      <w:r w:rsidRPr="00B710D7">
        <w:rPr>
          <w:rFonts w:cs="Calibri"/>
          <w:i w:val="0"/>
        </w:rPr>
        <w:t>E</w:t>
      </w:r>
      <w:r w:rsidR="00005B6D">
        <w:rPr>
          <w:rFonts w:cs="Calibri"/>
          <w:i w:val="0"/>
        </w:rPr>
        <w:t>uropea</w:t>
      </w:r>
      <w:r w:rsidRPr="00B710D7">
        <w:rPr>
          <w:rFonts w:cs="Calibri"/>
          <w:i w:val="0"/>
        </w:rPr>
        <w:t xml:space="preserve"> </w:t>
      </w:r>
      <w:r w:rsidR="00B82D26">
        <w:rPr>
          <w:rFonts w:cs="Calibri"/>
          <w:i w:val="0"/>
        </w:rPr>
        <w:t xml:space="preserve">a </w:t>
      </w:r>
      <w:r w:rsidRPr="00B710D7">
        <w:rPr>
          <w:rFonts w:cs="Calibri"/>
          <w:i w:val="0"/>
        </w:rPr>
        <w:t>que elimine la incertidumbre sobre el almacenamiento descentralizado y sobre la composición del futuro mix eléctrico.</w:t>
      </w:r>
    </w:p>
    <w:p w:rsidR="00B710D7" w:rsidRPr="00B710D7" w:rsidRDefault="00875559" w:rsidP="00B710D7">
      <w:pPr>
        <w:pStyle w:val="Sangradetextonormal"/>
        <w:spacing w:before="240" w:after="360"/>
        <w:rPr>
          <w:rFonts w:cs="Calibri"/>
          <w:b/>
          <w:i w:val="0"/>
        </w:rPr>
      </w:pPr>
      <w:r>
        <w:rPr>
          <w:rFonts w:cs="Calibri"/>
          <w:b/>
          <w:i w:val="0"/>
        </w:rPr>
        <w:t xml:space="preserve">4. </w:t>
      </w:r>
      <w:r w:rsidR="00B710D7" w:rsidRPr="00B710D7">
        <w:rPr>
          <w:rFonts w:cs="Calibri"/>
          <w:b/>
          <w:i w:val="0"/>
        </w:rPr>
        <w:t>Los fondos europeos de investigación deberían centrarse en tecnologías que fomenten la integración de los sistemas de almacenamiento descentralizado en la red eléctrica</w:t>
      </w:r>
    </w:p>
    <w:p w:rsidR="00B710D7" w:rsidRPr="00B710D7" w:rsidRDefault="00B710D7" w:rsidP="00B710D7">
      <w:pPr>
        <w:pStyle w:val="Sangradetextonormal"/>
        <w:spacing w:before="240" w:after="360"/>
        <w:rPr>
          <w:rFonts w:cs="Calibri"/>
          <w:i w:val="0"/>
        </w:rPr>
      </w:pPr>
      <w:r w:rsidRPr="00B710D7">
        <w:rPr>
          <w:rFonts w:cs="Calibri"/>
          <w:i w:val="0"/>
        </w:rPr>
        <w:t xml:space="preserve">Como las tecnologías de almacenamiento necesitan incentivos a nivel de I+D+i, Eurelectric apoya los </w:t>
      </w:r>
      <w:r w:rsidR="00005B6D" w:rsidRPr="00B710D7">
        <w:rPr>
          <w:rFonts w:cs="Calibri"/>
          <w:i w:val="0"/>
        </w:rPr>
        <w:t xml:space="preserve">incentivos </w:t>
      </w:r>
      <w:r w:rsidRPr="00B710D7">
        <w:rPr>
          <w:rFonts w:cs="Calibri"/>
          <w:i w:val="0"/>
        </w:rPr>
        <w:t xml:space="preserve">existentes, incluyendo el </w:t>
      </w:r>
      <w:hyperlink r:id="rId30" w:history="1">
        <w:r w:rsidRPr="003C33D9">
          <w:rPr>
            <w:rStyle w:val="Hipervnculo"/>
            <w:rFonts w:ascii="Calibri" w:hAnsi="Calibri" w:cs="Calibri"/>
            <w:i w:val="0"/>
          </w:rPr>
          <w:t>SET Plan</w:t>
        </w:r>
      </w:hyperlink>
      <w:r w:rsidRPr="00B710D7">
        <w:rPr>
          <w:rFonts w:cs="Calibri"/>
          <w:i w:val="0"/>
        </w:rPr>
        <w:t>, la Iniciativa Europea de Red Eléctrica (</w:t>
      </w:r>
      <w:hyperlink r:id="rId31" w:history="1">
        <w:r w:rsidRPr="003C33D9">
          <w:rPr>
            <w:rStyle w:val="Hipervnculo"/>
            <w:rFonts w:ascii="Calibri" w:hAnsi="Calibri" w:cs="Calibri"/>
            <w:i w:val="0"/>
          </w:rPr>
          <w:t>EEGI</w:t>
        </w:r>
      </w:hyperlink>
      <w:r w:rsidRPr="00B710D7">
        <w:rPr>
          <w:rFonts w:cs="Calibri"/>
          <w:i w:val="0"/>
        </w:rPr>
        <w:t>) y la alianza de investigación energética europea  (</w:t>
      </w:r>
      <w:hyperlink r:id="rId32" w:history="1">
        <w:r w:rsidRPr="003C33D9">
          <w:rPr>
            <w:rStyle w:val="Hipervnculo"/>
            <w:rFonts w:ascii="Calibri" w:hAnsi="Calibri" w:cs="Calibri"/>
            <w:i w:val="0"/>
          </w:rPr>
          <w:t>EERA</w:t>
        </w:r>
      </w:hyperlink>
      <w:r w:rsidRPr="00B710D7">
        <w:rPr>
          <w:rFonts w:cs="Calibri"/>
          <w:i w:val="0"/>
        </w:rPr>
        <w:t>).</w:t>
      </w:r>
    </w:p>
    <w:p w:rsidR="00B710D7" w:rsidRPr="00B710D7" w:rsidRDefault="00B710D7" w:rsidP="00B710D7">
      <w:pPr>
        <w:pStyle w:val="Sangradetextonormal"/>
        <w:spacing w:before="240" w:after="360"/>
        <w:rPr>
          <w:rFonts w:cs="Calibri"/>
          <w:b/>
          <w:i w:val="0"/>
        </w:rPr>
      </w:pPr>
      <w:r w:rsidRPr="00B710D7">
        <w:rPr>
          <w:rFonts w:cs="Calibri"/>
          <w:b/>
          <w:i w:val="0"/>
        </w:rPr>
        <w:t>5.</w:t>
      </w:r>
      <w:r w:rsidR="00875559">
        <w:rPr>
          <w:rFonts w:cs="Calibri"/>
          <w:b/>
          <w:i w:val="0"/>
        </w:rPr>
        <w:t xml:space="preserve"> </w:t>
      </w:r>
      <w:r w:rsidRPr="00B710D7">
        <w:rPr>
          <w:rFonts w:cs="Calibri"/>
          <w:b/>
          <w:i w:val="0"/>
        </w:rPr>
        <w:t>Es necesario un enfoque integral considerando todos los costes y beneficios para alcanzar los objetivos energéticos así como integrar poco a poco las tecnologías de almacenamiento descentralizado en el sistema eléctrico inteligente</w:t>
      </w:r>
    </w:p>
    <w:p w:rsidR="00B710D7" w:rsidRPr="00B710D7" w:rsidRDefault="00B710D7" w:rsidP="00B710D7">
      <w:pPr>
        <w:pStyle w:val="Sangradetextonormal"/>
        <w:spacing w:before="240" w:after="360"/>
        <w:rPr>
          <w:rFonts w:cs="Calibri"/>
          <w:i w:val="0"/>
        </w:rPr>
      </w:pPr>
      <w:r w:rsidRPr="00B710D7">
        <w:rPr>
          <w:rFonts w:cs="Calibri"/>
          <w:i w:val="0"/>
        </w:rPr>
        <w:t xml:space="preserve">Una vez que los sistemas de almacenamiento descentralizados estén conectados a la red, los </w:t>
      </w:r>
      <w:r w:rsidR="00780496">
        <w:rPr>
          <w:rFonts w:cs="Calibri"/>
          <w:i w:val="0"/>
        </w:rPr>
        <w:t>OSD</w:t>
      </w:r>
      <w:r w:rsidRPr="00B710D7">
        <w:rPr>
          <w:rFonts w:cs="Calibri"/>
          <w:i w:val="0"/>
        </w:rPr>
        <w:t>s podrán facilitar los servicios de gestión de la energía de una manera neutra</w:t>
      </w:r>
      <w:r w:rsidR="00005B6D">
        <w:rPr>
          <w:rFonts w:cs="Calibri"/>
          <w:i w:val="0"/>
        </w:rPr>
        <w:t>l</w:t>
      </w:r>
      <w:r w:rsidRPr="00B710D7">
        <w:rPr>
          <w:rFonts w:cs="Calibri"/>
          <w:i w:val="0"/>
        </w:rPr>
        <w:t xml:space="preserve"> a los agentes del mercado. </w:t>
      </w:r>
      <w:r w:rsidR="00DB2F4F">
        <w:rPr>
          <w:rFonts w:cs="Calibri"/>
          <w:i w:val="0"/>
        </w:rPr>
        <w:t>Es necesario asegurar el suministro eléctrico a través de un esquema de incentivos basados en el mercado cuando la res eléctrica no sea capaz de suministrar toda la demanda punta, mediante acuerdos entre el proveedor del almacenamiento descentralizado y el consumidor (de forma que esa electricidad esté disponible</w:t>
      </w:r>
      <w:r w:rsidR="003E0B71">
        <w:rPr>
          <w:rFonts w:cs="Calibri"/>
          <w:i w:val="0"/>
        </w:rPr>
        <w:t>). Así, el OSD jugará un papel de facilitador neutro conectando los sistemas de almacenamiento descentralizado a sus redes de baja y media tensión,  integrando los requerimientos técnicos de dicho almacenamiento en la gestión de sus redes.</w:t>
      </w:r>
      <w:r w:rsidR="00841A53">
        <w:rPr>
          <w:rFonts w:cs="Calibri"/>
          <w:i w:val="0"/>
        </w:rPr>
        <w:t xml:space="preserve"> </w:t>
      </w:r>
      <w:r w:rsidR="003E0B71">
        <w:rPr>
          <w:rFonts w:cs="Calibri"/>
          <w:i w:val="0"/>
        </w:rPr>
        <w:t>Además, los OSDs,</w:t>
      </w:r>
      <w:r w:rsidR="00841A53">
        <w:rPr>
          <w:rFonts w:cs="Calibri"/>
          <w:i w:val="0"/>
        </w:rPr>
        <w:t xml:space="preserve"> </w:t>
      </w:r>
      <w:r w:rsidR="003E0B71">
        <w:rPr>
          <w:rFonts w:cs="Calibri"/>
          <w:i w:val="0"/>
        </w:rPr>
        <w:t>t</w:t>
      </w:r>
      <w:r w:rsidRPr="00B710D7">
        <w:rPr>
          <w:rFonts w:cs="Calibri"/>
          <w:i w:val="0"/>
        </w:rPr>
        <w:t>ambién podrán proveer servicios del sistema para garantizar la fiabilidad y el control.</w:t>
      </w:r>
    </w:p>
    <w:p w:rsidR="00B710D7" w:rsidRPr="00B710D7" w:rsidRDefault="00B710D7" w:rsidP="00B710D7">
      <w:pPr>
        <w:pStyle w:val="Sangradetextonormal"/>
        <w:spacing w:before="240" w:after="360"/>
        <w:rPr>
          <w:rFonts w:cs="Calibri"/>
          <w:i w:val="0"/>
        </w:rPr>
      </w:pPr>
      <w:r w:rsidRPr="00B710D7">
        <w:rPr>
          <w:rFonts w:cs="Calibri"/>
          <w:i w:val="0"/>
        </w:rPr>
        <w:t xml:space="preserve">No sólo se beneficiarían los </w:t>
      </w:r>
      <w:r w:rsidR="003C33D9">
        <w:rPr>
          <w:rFonts w:cs="Calibri"/>
          <w:i w:val="0"/>
        </w:rPr>
        <w:t>OSD</w:t>
      </w:r>
      <w:r w:rsidR="003C33D9" w:rsidRPr="00B710D7">
        <w:rPr>
          <w:rFonts w:cs="Calibri"/>
          <w:i w:val="0"/>
        </w:rPr>
        <w:t xml:space="preserve">s </w:t>
      </w:r>
      <w:r w:rsidRPr="00B710D7">
        <w:rPr>
          <w:rFonts w:cs="Calibri"/>
          <w:i w:val="0"/>
        </w:rPr>
        <w:t>del almacenamiento descentralizado, sino todos los agentes de la cadena de valor de la electricidad. Eurelectric apoya el establecimiento de un marco que facilite valorar el almacenamiento descentralizado, especialmente a nivel de integración de las</w:t>
      </w:r>
      <w:r>
        <w:rPr>
          <w:rFonts w:cs="Calibri"/>
          <w:i w:val="0"/>
        </w:rPr>
        <w:t xml:space="preserve"> </w:t>
      </w:r>
      <w:r w:rsidRPr="00B710D7">
        <w:rPr>
          <w:rFonts w:cs="Calibri"/>
          <w:i w:val="0"/>
        </w:rPr>
        <w:t>renovables y de la planificación de la red de distribución, de forma que los poderes públicos apoyen su desarrollo y la industria realice inversiones en función del resultado.</w:t>
      </w:r>
    </w:p>
    <w:p w:rsidR="00B710D7" w:rsidRPr="00B710D7" w:rsidRDefault="00B710D7" w:rsidP="00B710D7">
      <w:pPr>
        <w:pStyle w:val="Sangradetextonormal"/>
        <w:spacing w:before="240" w:after="360"/>
        <w:rPr>
          <w:rFonts w:cs="Calibri"/>
          <w:b/>
          <w:i w:val="0"/>
        </w:rPr>
      </w:pPr>
      <w:r w:rsidRPr="00B710D7">
        <w:rPr>
          <w:rFonts w:cs="Calibri"/>
          <w:b/>
          <w:i w:val="0"/>
        </w:rPr>
        <w:t>6. El sistema de tarifas de acceso debe ser reconsiderado dentro del contexto de las redes inteligentes</w:t>
      </w:r>
    </w:p>
    <w:p w:rsidR="00B710D7" w:rsidRPr="00B710D7" w:rsidRDefault="00B710D7" w:rsidP="00B710D7">
      <w:pPr>
        <w:pStyle w:val="Sangradetextonormal"/>
        <w:spacing w:before="240" w:after="360"/>
        <w:rPr>
          <w:rFonts w:cs="Calibri"/>
          <w:i w:val="0"/>
        </w:rPr>
      </w:pPr>
      <w:r w:rsidRPr="00B710D7">
        <w:rPr>
          <w:rFonts w:cs="Calibri"/>
          <w:i w:val="0"/>
        </w:rPr>
        <w:t>La estructura de la tarifa de acceso actual se define en función del consumo de energía; pero esto no refleja la estructura de costes de la red, que debería tener en cuenta la remuneración de los servicios de gestión de la energía y del sistema a nivel de distribución.</w:t>
      </w:r>
    </w:p>
    <w:p w:rsidR="00B710D7" w:rsidRPr="002D5F54" w:rsidRDefault="00F54FDE" w:rsidP="00B710D7">
      <w:pPr>
        <w:pStyle w:val="Sangradetextonormal"/>
        <w:spacing w:before="240" w:after="360"/>
        <w:jc w:val="left"/>
        <w:rPr>
          <w:rFonts w:cs="Calibri"/>
        </w:rPr>
      </w:pPr>
      <w:r>
        <w:rPr>
          <w:rFonts w:cs="Calibri"/>
        </w:rPr>
        <w:t>E</w:t>
      </w:r>
      <w:r w:rsidR="00005B6D">
        <w:rPr>
          <w:rFonts w:cs="Calibri"/>
        </w:rPr>
        <w:t>n la actualidad,</w:t>
      </w:r>
      <w:r w:rsidR="00B710D7" w:rsidRPr="002D5F54">
        <w:rPr>
          <w:rFonts w:cs="Calibri"/>
        </w:rPr>
        <w:t xml:space="preserve"> las tecnologías de almacenamiento conectadas a las redes eléctricas de distribución no son por lo general </w:t>
      </w:r>
      <w:r w:rsidR="00005B6D">
        <w:rPr>
          <w:rFonts w:cs="Calibri"/>
        </w:rPr>
        <w:t>competitivas frente a otras alternativas de flexibilidad, sin embargo, es un elemento que se prevé esencial en el futuro</w:t>
      </w:r>
      <w:r w:rsidR="00B710D7" w:rsidRPr="002D5F54">
        <w:rPr>
          <w:rFonts w:cs="Calibri"/>
        </w:rPr>
        <w:t>. Su desarrollo dependerá de los siguientes factores: a) desarrollo económico frente a otras alternativas, para lo cual se precisa apoyo en forma de I+D</w:t>
      </w:r>
      <w:r w:rsidR="004C32C0">
        <w:rPr>
          <w:rFonts w:cs="Calibri"/>
        </w:rPr>
        <w:t>, y</w:t>
      </w:r>
      <w:r w:rsidR="00B710D7" w:rsidRPr="002D5F54">
        <w:rPr>
          <w:rFonts w:cs="Calibri"/>
        </w:rPr>
        <w:t xml:space="preserve"> b) esquema</w:t>
      </w:r>
      <w:r w:rsidR="00005B6D">
        <w:rPr>
          <w:rFonts w:cs="Calibri"/>
        </w:rPr>
        <w:t>s</w:t>
      </w:r>
      <w:r w:rsidR="00B710D7" w:rsidRPr="002D5F54">
        <w:rPr>
          <w:rFonts w:cs="Calibri"/>
        </w:rPr>
        <w:t xml:space="preserve"> regulatorio</w:t>
      </w:r>
      <w:r w:rsidR="00005B6D">
        <w:rPr>
          <w:rFonts w:cs="Calibri"/>
        </w:rPr>
        <w:t>s</w:t>
      </w:r>
      <w:r w:rsidR="00B710D7" w:rsidRPr="002D5F54">
        <w:rPr>
          <w:rFonts w:cs="Calibri"/>
        </w:rPr>
        <w:t xml:space="preserve"> que despeje</w:t>
      </w:r>
      <w:r w:rsidR="00005B6D">
        <w:rPr>
          <w:rFonts w:cs="Calibri"/>
        </w:rPr>
        <w:t>n</w:t>
      </w:r>
      <w:r w:rsidR="00B710D7" w:rsidRPr="002D5F54">
        <w:rPr>
          <w:rFonts w:cs="Calibri"/>
        </w:rPr>
        <w:t xml:space="preserve"> las </w:t>
      </w:r>
      <w:r w:rsidR="00005B6D">
        <w:rPr>
          <w:rFonts w:cs="Calibri"/>
        </w:rPr>
        <w:t>incertidumbres</w:t>
      </w:r>
      <w:r w:rsidR="00B710D7" w:rsidRPr="002D5F54">
        <w:rPr>
          <w:rFonts w:cs="Calibri"/>
        </w:rPr>
        <w:t xml:space="preserve"> existentes, sobre todo en cuanto a las responsabilidades de los agentes involucrados. A medio plazo, es previsible que las ventajas de estas tecnologías, en un entorno de gran desarrollo de energías renovables, sea</w:t>
      </w:r>
      <w:r>
        <w:rPr>
          <w:rFonts w:cs="Calibri"/>
        </w:rPr>
        <w:t>n puestas</w:t>
      </w:r>
      <w:r w:rsidR="00B710D7" w:rsidRPr="002D5F54">
        <w:rPr>
          <w:rFonts w:cs="Calibri"/>
        </w:rPr>
        <w:t xml:space="preserve"> en valor y se convierta en una solución competitiva.</w:t>
      </w:r>
    </w:p>
    <w:p w:rsidR="00B710D7" w:rsidRPr="00B710D7" w:rsidRDefault="00B710D7" w:rsidP="00F54FDE">
      <w:pPr>
        <w:pStyle w:val="Sangradetextonormal"/>
        <w:spacing w:before="240" w:after="360"/>
        <w:ind w:left="567"/>
        <w:jc w:val="left"/>
        <w:rPr>
          <w:rFonts w:cs="Calibri"/>
          <w:i w:val="0"/>
        </w:rPr>
      </w:pPr>
      <w:r w:rsidRPr="00B710D7">
        <w:rPr>
          <w:rFonts w:cs="Calibri"/>
          <w:b/>
          <w:i w:val="0"/>
          <w:iCs w:val="0"/>
          <w:sz w:val="20"/>
          <w:szCs w:val="20"/>
          <w:lang w:val="es-ES_tradnl"/>
        </w:rPr>
        <w:t>Enlaces a fichas de “Energía y Sociedad” relacionadas:</w:t>
      </w:r>
      <w:r>
        <w:rPr>
          <w:rFonts w:cs="Calibri"/>
          <w:b/>
          <w:sz w:val="20"/>
          <w:szCs w:val="20"/>
        </w:rPr>
        <w:t xml:space="preserve"> </w:t>
      </w:r>
      <w:hyperlink r:id="rId33" w:history="1">
        <w:r w:rsidRPr="00B710D7">
          <w:rPr>
            <w:rStyle w:val="Hipervnculo"/>
            <w:rFonts w:ascii="Calibri" w:hAnsi="Calibri" w:cs="Calibri"/>
            <w:i w:val="0"/>
            <w:sz w:val="20"/>
            <w:szCs w:val="20"/>
          </w:rPr>
          <w:t>¿Por qué se dice que la energía eléctrica no es almacenable?</w:t>
        </w:r>
      </w:hyperlink>
      <w:r w:rsidRPr="00B710D7">
        <w:rPr>
          <w:rFonts w:cs="Calibri"/>
          <w:i w:val="0"/>
          <w:sz w:val="20"/>
          <w:szCs w:val="20"/>
        </w:rPr>
        <w:t xml:space="preserve">, </w:t>
      </w:r>
      <w:hyperlink r:id="rId34" w:history="1">
        <w:r w:rsidRPr="00B710D7">
          <w:rPr>
            <w:rStyle w:val="Hipervnculo"/>
            <w:rFonts w:ascii="Calibri" w:hAnsi="Calibri" w:cs="Calibri"/>
            <w:i w:val="0"/>
            <w:sz w:val="20"/>
            <w:szCs w:val="20"/>
          </w:rPr>
          <w:t>Central hidráulica de bombeo</w:t>
        </w:r>
      </w:hyperlink>
      <w:r w:rsidRPr="00B710D7">
        <w:rPr>
          <w:rFonts w:cs="Calibri"/>
          <w:i w:val="0"/>
          <w:sz w:val="20"/>
          <w:szCs w:val="20"/>
        </w:rPr>
        <w:t xml:space="preserve">, </w:t>
      </w:r>
      <w:hyperlink r:id="rId35" w:history="1">
        <w:r w:rsidRPr="00B710D7">
          <w:rPr>
            <w:rStyle w:val="Hipervnculo"/>
            <w:rFonts w:ascii="Calibri" w:hAnsi="Calibri" w:cs="Calibri"/>
            <w:i w:val="0"/>
            <w:sz w:val="20"/>
            <w:szCs w:val="20"/>
          </w:rPr>
          <w:t>Smart Grids</w:t>
        </w:r>
      </w:hyperlink>
      <w:r w:rsidRPr="00B710D7">
        <w:rPr>
          <w:rFonts w:cs="Calibri"/>
          <w:i w:val="0"/>
          <w:sz w:val="20"/>
          <w:szCs w:val="20"/>
        </w:rPr>
        <w:t xml:space="preserve">, </w:t>
      </w:r>
      <w:hyperlink r:id="rId36" w:history="1">
        <w:r w:rsidRPr="00B710D7">
          <w:rPr>
            <w:rStyle w:val="Hipervnculo"/>
            <w:rFonts w:ascii="Calibri" w:hAnsi="Calibri" w:cs="Calibri"/>
            <w:i w:val="0"/>
            <w:sz w:val="20"/>
            <w:szCs w:val="20"/>
          </w:rPr>
          <w:t>Price</w:t>
        </w:r>
        <w:r w:rsidRPr="00610306">
          <w:rPr>
            <w:rStyle w:val="Hipervnculo"/>
            <w:rFonts w:ascii="Calibri" w:hAnsi="Calibri" w:cs="Calibri"/>
            <w:i w:val="0"/>
            <w:sz w:val="20"/>
            <w:szCs w:val="20"/>
            <w:lang w:val="en-US"/>
          </w:rPr>
          <w:t>-responsive demand management</w:t>
        </w:r>
        <w:r w:rsidRPr="00610306">
          <w:rPr>
            <w:rStyle w:val="Hipervnculo"/>
            <w:rFonts w:ascii="Calibri" w:hAnsi="Calibri" w:cs="Calibri"/>
            <w:i w:val="0"/>
            <w:sz w:val="20"/>
            <w:szCs w:val="20"/>
            <w:lang w:val="en-029"/>
          </w:rPr>
          <w:t xml:space="preserve"> for</w:t>
        </w:r>
        <w:r w:rsidRPr="00B710D7">
          <w:rPr>
            <w:rStyle w:val="Hipervnculo"/>
            <w:rFonts w:ascii="Calibri" w:hAnsi="Calibri" w:cs="Calibri"/>
            <w:i w:val="0"/>
            <w:sz w:val="20"/>
            <w:szCs w:val="20"/>
          </w:rPr>
          <w:t xml:space="preserve"> a Smart</w:t>
        </w:r>
        <w:r w:rsidRPr="00610306">
          <w:rPr>
            <w:rStyle w:val="Hipervnculo"/>
            <w:rFonts w:ascii="Calibri" w:hAnsi="Calibri" w:cs="Calibri"/>
            <w:i w:val="0"/>
            <w:sz w:val="20"/>
            <w:szCs w:val="20"/>
            <w:lang w:val="en-US"/>
          </w:rPr>
          <w:t xml:space="preserve"> Grid World</w:t>
        </w:r>
      </w:hyperlink>
    </w:p>
    <w:sectPr w:rsidR="00B710D7" w:rsidRPr="00B710D7" w:rsidSect="00BA1E34">
      <w:headerReference w:type="even" r:id="rId37"/>
      <w:headerReference w:type="default" r:id="rId38"/>
      <w:footerReference w:type="even" r:id="rId39"/>
      <w:footerReference w:type="default" r:id="rId40"/>
      <w:headerReference w:type="first" r:id="rId41"/>
      <w:footerReference w:type="first" r:id="rId42"/>
      <w:type w:val="continuous"/>
      <w:pgSz w:w="11906" w:h="16838"/>
      <w:pgMar w:top="2268" w:right="1133" w:bottom="2268" w:left="993" w:header="709" w:footer="709" w:gutter="0"/>
      <w:pgBorders w:offsetFrom="page">
        <w:top w:val="single" w:sz="18" w:space="24" w:color="FFCC66"/>
        <w:left w:val="single" w:sz="18" w:space="24" w:color="FFCC66"/>
        <w:bottom w:val="single" w:sz="18" w:space="24" w:color="FFCC66"/>
        <w:right w:val="single" w:sz="18" w:space="24" w:color="FFCC66"/>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F6" w:rsidRDefault="00DC2DF6">
      <w:r>
        <w:separator/>
      </w:r>
    </w:p>
  </w:endnote>
  <w:endnote w:type="continuationSeparator" w:id="0">
    <w:p w:rsidR="00DC2DF6" w:rsidRDefault="00DC2D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axOT-Medium">
    <w:altName w:val="Bodoni MT Condensed"/>
    <w:panose1 w:val="00000000000000000000"/>
    <w:charset w:val="00"/>
    <w:family w:val="modern"/>
    <w:notTrueType/>
    <w:pitch w:val="variable"/>
    <w:sig w:usb0="800000AF" w:usb1="4000247B"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BF" w:rsidRDefault="003D20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976"/>
      <w:gridCol w:w="1977"/>
      <w:gridCol w:w="2009"/>
      <w:gridCol w:w="1978"/>
      <w:gridCol w:w="1980"/>
    </w:tblGrid>
    <w:tr w:rsidR="005A5EB8">
      <w:tc>
        <w:tcPr>
          <w:tcW w:w="2012" w:type="dxa"/>
          <w:tcBorders>
            <w:top w:val="nil"/>
            <w:left w:val="nil"/>
            <w:bottom w:val="nil"/>
            <w:right w:val="nil"/>
          </w:tcBorders>
        </w:tcPr>
        <w:p w:rsidR="005A5EB8" w:rsidRDefault="005A5EB8">
          <w:pPr>
            <w:pStyle w:val="Piedepgina"/>
            <w:jc w:val="right"/>
            <w:rPr>
              <w:rFonts w:ascii="Calibri" w:hAnsi="Calibri" w:cs="Calibri"/>
              <w:sz w:val="20"/>
              <w:szCs w:val="20"/>
            </w:rPr>
          </w:pPr>
        </w:p>
      </w:tc>
      <w:tc>
        <w:tcPr>
          <w:tcW w:w="2012" w:type="dxa"/>
          <w:tcBorders>
            <w:top w:val="nil"/>
            <w:left w:val="nil"/>
            <w:bottom w:val="nil"/>
            <w:right w:val="nil"/>
          </w:tcBorders>
        </w:tcPr>
        <w:p w:rsidR="005A5EB8" w:rsidRDefault="005A5EB8">
          <w:pPr>
            <w:pStyle w:val="Piedepgina"/>
            <w:jc w:val="right"/>
            <w:rPr>
              <w:rFonts w:ascii="Calibri" w:hAnsi="Calibri" w:cs="Calibri"/>
              <w:sz w:val="20"/>
              <w:szCs w:val="20"/>
            </w:rPr>
          </w:pPr>
        </w:p>
      </w:tc>
      <w:tc>
        <w:tcPr>
          <w:tcW w:w="2012" w:type="dxa"/>
          <w:tcBorders>
            <w:top w:val="nil"/>
            <w:left w:val="nil"/>
            <w:bottom w:val="nil"/>
            <w:right w:val="nil"/>
          </w:tcBorders>
        </w:tcPr>
        <w:p w:rsidR="005A5EB8" w:rsidRDefault="00753665">
          <w:pPr>
            <w:pStyle w:val="Piedepgina"/>
            <w:jc w:val="center"/>
            <w:rPr>
              <w:rFonts w:ascii="Calibri" w:hAnsi="Calibri" w:cs="Calibri"/>
              <w:sz w:val="20"/>
              <w:szCs w:val="20"/>
            </w:rPr>
          </w:pPr>
          <w:r>
            <w:rPr>
              <w:noProof/>
              <w:lang w:val="es-ES"/>
            </w:rPr>
            <w:drawing>
              <wp:inline distT="0" distB="0" distL="0" distR="0">
                <wp:extent cx="497205" cy="278130"/>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497205" cy="278130"/>
                        </a:xfrm>
                        <a:prstGeom prst="rect">
                          <a:avLst/>
                        </a:prstGeom>
                        <a:noFill/>
                        <a:ln w="9525">
                          <a:noFill/>
                          <a:miter lim="800000"/>
                          <a:headEnd/>
                          <a:tailEnd/>
                        </a:ln>
                      </pic:spPr>
                    </pic:pic>
                  </a:graphicData>
                </a:graphic>
              </wp:inline>
            </w:drawing>
          </w:r>
        </w:p>
      </w:tc>
      <w:tc>
        <w:tcPr>
          <w:tcW w:w="2013" w:type="dxa"/>
          <w:tcBorders>
            <w:top w:val="nil"/>
            <w:left w:val="nil"/>
            <w:bottom w:val="nil"/>
            <w:right w:val="nil"/>
          </w:tcBorders>
        </w:tcPr>
        <w:p w:rsidR="005A5EB8" w:rsidRDefault="005A5EB8">
          <w:pPr>
            <w:pStyle w:val="Piedepgina"/>
            <w:jc w:val="right"/>
            <w:rPr>
              <w:rFonts w:ascii="Calibri" w:hAnsi="Calibri" w:cs="Calibri"/>
              <w:sz w:val="20"/>
              <w:szCs w:val="20"/>
            </w:rPr>
          </w:pPr>
        </w:p>
      </w:tc>
      <w:tc>
        <w:tcPr>
          <w:tcW w:w="2013" w:type="dxa"/>
          <w:tcBorders>
            <w:top w:val="nil"/>
            <w:left w:val="nil"/>
            <w:bottom w:val="nil"/>
            <w:right w:val="nil"/>
          </w:tcBorders>
        </w:tcPr>
        <w:p w:rsidR="005A5EB8" w:rsidRDefault="005A5EB8">
          <w:pPr>
            <w:pStyle w:val="Piedepgina"/>
            <w:jc w:val="right"/>
            <w:rPr>
              <w:rFonts w:ascii="Calibri" w:hAnsi="Calibri" w:cs="Calibri"/>
              <w:sz w:val="20"/>
              <w:szCs w:val="20"/>
            </w:rPr>
          </w:pPr>
        </w:p>
      </w:tc>
    </w:tr>
    <w:tr w:rsidR="005A5EB8">
      <w:tc>
        <w:tcPr>
          <w:tcW w:w="2012" w:type="dxa"/>
          <w:tcBorders>
            <w:top w:val="nil"/>
            <w:left w:val="nil"/>
            <w:bottom w:val="nil"/>
            <w:right w:val="nil"/>
          </w:tcBorders>
        </w:tcPr>
        <w:p w:rsidR="005A5EB8" w:rsidRDefault="005A5EB8">
          <w:pPr>
            <w:pStyle w:val="Piedepgina"/>
            <w:jc w:val="right"/>
            <w:rPr>
              <w:rFonts w:ascii="Calibri" w:hAnsi="Calibri" w:cs="Calibri"/>
              <w:sz w:val="20"/>
              <w:szCs w:val="20"/>
            </w:rPr>
          </w:pPr>
        </w:p>
      </w:tc>
      <w:tc>
        <w:tcPr>
          <w:tcW w:w="2012" w:type="dxa"/>
          <w:tcBorders>
            <w:top w:val="nil"/>
            <w:left w:val="nil"/>
            <w:bottom w:val="nil"/>
            <w:right w:val="nil"/>
          </w:tcBorders>
        </w:tcPr>
        <w:p w:rsidR="005A5EB8" w:rsidRDefault="005A5EB8">
          <w:pPr>
            <w:pStyle w:val="Piedepgina"/>
            <w:jc w:val="right"/>
            <w:rPr>
              <w:rFonts w:ascii="Calibri" w:hAnsi="Calibri" w:cs="Calibri"/>
              <w:sz w:val="20"/>
              <w:szCs w:val="20"/>
            </w:rPr>
          </w:pPr>
        </w:p>
      </w:tc>
      <w:tc>
        <w:tcPr>
          <w:tcW w:w="2012" w:type="dxa"/>
          <w:tcBorders>
            <w:top w:val="nil"/>
            <w:left w:val="nil"/>
            <w:bottom w:val="nil"/>
            <w:right w:val="nil"/>
          </w:tcBorders>
        </w:tcPr>
        <w:p w:rsidR="005A5EB8" w:rsidRDefault="005A5EB8">
          <w:pPr>
            <w:pStyle w:val="Piedepgina"/>
            <w:jc w:val="center"/>
            <w:rPr>
              <w:rFonts w:ascii="Calibri" w:hAnsi="Calibri" w:cs="Calibri"/>
              <w:sz w:val="20"/>
              <w:szCs w:val="20"/>
            </w:rPr>
          </w:pPr>
          <w:r>
            <w:rPr>
              <w:rFonts w:ascii="Trebuchet MS" w:hAnsi="Trebuchet MS" w:cs="Trebuchet MS"/>
              <w:b/>
              <w:bCs/>
              <w:sz w:val="14"/>
              <w:szCs w:val="14"/>
            </w:rPr>
            <w:t>www.energiaysociedad.es</w:t>
          </w:r>
        </w:p>
      </w:tc>
      <w:tc>
        <w:tcPr>
          <w:tcW w:w="2013" w:type="dxa"/>
          <w:tcBorders>
            <w:top w:val="nil"/>
            <w:left w:val="nil"/>
            <w:bottom w:val="nil"/>
            <w:right w:val="nil"/>
          </w:tcBorders>
        </w:tcPr>
        <w:p w:rsidR="005A5EB8" w:rsidRDefault="005A5EB8">
          <w:pPr>
            <w:pStyle w:val="Piedepgina"/>
            <w:jc w:val="right"/>
            <w:rPr>
              <w:rFonts w:ascii="Calibri" w:hAnsi="Calibri" w:cs="Calibri"/>
              <w:sz w:val="20"/>
              <w:szCs w:val="20"/>
            </w:rPr>
          </w:pPr>
        </w:p>
      </w:tc>
      <w:tc>
        <w:tcPr>
          <w:tcW w:w="2013" w:type="dxa"/>
          <w:tcBorders>
            <w:top w:val="nil"/>
            <w:left w:val="nil"/>
            <w:bottom w:val="nil"/>
            <w:right w:val="nil"/>
          </w:tcBorders>
        </w:tcPr>
        <w:p w:rsidR="005A5EB8" w:rsidRDefault="001C6375">
          <w:pPr>
            <w:pStyle w:val="Piedepgina"/>
            <w:jc w:val="right"/>
            <w:rPr>
              <w:rFonts w:ascii="Calibri" w:hAnsi="Calibri" w:cs="Calibri"/>
              <w:sz w:val="20"/>
              <w:szCs w:val="20"/>
            </w:rPr>
          </w:pPr>
          <w:r>
            <w:rPr>
              <w:rFonts w:ascii="Calibri" w:hAnsi="Calibri" w:cs="Calibri"/>
              <w:sz w:val="20"/>
              <w:szCs w:val="20"/>
            </w:rPr>
            <w:fldChar w:fldCharType="begin"/>
          </w:r>
          <w:r w:rsidR="005A5EB8">
            <w:rPr>
              <w:rFonts w:ascii="Calibri" w:hAnsi="Calibri" w:cs="Calibri"/>
              <w:sz w:val="20"/>
              <w:szCs w:val="20"/>
            </w:rPr>
            <w:instrText xml:space="preserve"> PAGE   \* MERGEFORMAT </w:instrText>
          </w:r>
          <w:r>
            <w:rPr>
              <w:rFonts w:ascii="Calibri" w:hAnsi="Calibri" w:cs="Calibri"/>
              <w:sz w:val="20"/>
              <w:szCs w:val="20"/>
            </w:rPr>
            <w:fldChar w:fldCharType="separate"/>
          </w:r>
          <w:r w:rsidR="00890EFC">
            <w:rPr>
              <w:rFonts w:ascii="Calibri" w:hAnsi="Calibri" w:cs="Calibri"/>
              <w:noProof/>
              <w:sz w:val="20"/>
              <w:szCs w:val="20"/>
            </w:rPr>
            <w:t>2</w:t>
          </w:r>
          <w:r>
            <w:rPr>
              <w:rFonts w:ascii="Calibri" w:hAnsi="Calibri" w:cs="Calibri"/>
              <w:sz w:val="20"/>
              <w:szCs w:val="20"/>
            </w:rPr>
            <w:fldChar w:fldCharType="end"/>
          </w:r>
        </w:p>
      </w:tc>
    </w:tr>
  </w:tbl>
  <w:p w:rsidR="005A5EB8" w:rsidRDefault="005A5EB8">
    <w:pPr>
      <w:pStyle w:val="Piedepgina"/>
      <w:jc w:val="right"/>
      <w:rPr>
        <w:rFonts w:ascii="Calibri" w:hAnsi="Calibri" w:cs="Calibri"/>
        <w:sz w:val="20"/>
        <w:szCs w:val="20"/>
      </w:rPr>
    </w:pPr>
  </w:p>
  <w:p w:rsidR="005A5EB8" w:rsidRDefault="005A5EB8">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BF" w:rsidRDefault="003D20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F6" w:rsidRDefault="00DC2DF6">
      <w:r>
        <w:separator/>
      </w:r>
    </w:p>
  </w:footnote>
  <w:footnote w:type="continuationSeparator" w:id="0">
    <w:p w:rsidR="00DC2DF6" w:rsidRDefault="00DC2DF6">
      <w:r>
        <w:continuationSeparator/>
      </w:r>
    </w:p>
  </w:footnote>
  <w:footnote w:id="1">
    <w:p w:rsidR="00E668BC" w:rsidRPr="00BB605F" w:rsidRDefault="008E3F0E">
      <w:pPr>
        <w:pStyle w:val="Textonotapie"/>
        <w:rPr>
          <w:rFonts w:asciiTheme="minorHAnsi" w:hAnsiTheme="minorHAnsi"/>
          <w:u w:val="single"/>
        </w:rPr>
      </w:pPr>
      <w:r w:rsidRPr="00BB605F">
        <w:rPr>
          <w:rStyle w:val="Refdenotaalpie"/>
          <w:rFonts w:asciiTheme="minorHAnsi" w:hAnsiTheme="minorHAnsi"/>
          <w:u w:val="single"/>
        </w:rPr>
        <w:footnoteRef/>
      </w:r>
      <w:r w:rsidRPr="00BB605F">
        <w:rPr>
          <w:rFonts w:asciiTheme="minorHAnsi" w:hAnsiTheme="minorHAnsi"/>
          <w:u w:val="single"/>
        </w:rPr>
        <w:t xml:space="preserve"> </w:t>
      </w:r>
      <w:hyperlink r:id="rId1" w:history="1">
        <w:r w:rsidRPr="00BB605F">
          <w:rPr>
            <w:rStyle w:val="Hipervnculo"/>
            <w:rFonts w:asciiTheme="minorHAnsi" w:hAnsiTheme="minorHAnsi"/>
          </w:rPr>
          <w:t xml:space="preserve">Ver Boletín </w:t>
        </w:r>
        <w:r w:rsidR="008A1B62" w:rsidRPr="00BB605F">
          <w:rPr>
            <w:rStyle w:val="Hipervnculo"/>
            <w:rFonts w:asciiTheme="minorHAnsi" w:hAnsiTheme="minorHAnsi"/>
          </w:rPr>
          <w:t xml:space="preserve">de Energía y Sociedad </w:t>
        </w:r>
        <w:r w:rsidRPr="00BB605F">
          <w:rPr>
            <w:rStyle w:val="Hipervnculo"/>
            <w:rFonts w:asciiTheme="minorHAnsi" w:hAnsiTheme="minorHAnsi"/>
          </w:rPr>
          <w:t>nº69</w:t>
        </w:r>
      </w:hyperlink>
    </w:p>
  </w:footnote>
  <w:footnote w:id="2">
    <w:p w:rsidR="008A1B62" w:rsidRPr="008A1B62" w:rsidRDefault="001C6375">
      <w:pPr>
        <w:pStyle w:val="Textonotapie"/>
        <w:rPr>
          <w:rFonts w:asciiTheme="minorHAnsi" w:hAnsiTheme="minorHAnsi"/>
        </w:rPr>
      </w:pPr>
      <w:hyperlink r:id="rId2" w:history="1">
        <w:r w:rsidR="008E3F0E" w:rsidRPr="00BB605F">
          <w:rPr>
            <w:rStyle w:val="Hipervnculo"/>
            <w:rFonts w:asciiTheme="minorHAnsi" w:hAnsiTheme="minorHAnsi"/>
            <w:vertAlign w:val="superscript"/>
          </w:rPr>
          <w:footnoteRef/>
        </w:r>
        <w:r w:rsidR="008E3F0E" w:rsidRPr="00BB605F">
          <w:rPr>
            <w:rStyle w:val="Hipervnculo"/>
            <w:rFonts w:asciiTheme="minorHAnsi" w:hAnsiTheme="minorHAnsi"/>
          </w:rPr>
          <w:t xml:space="preserve"> Ver Boletín de Energía y Sociedad nº73</w:t>
        </w:r>
      </w:hyperlink>
    </w:p>
  </w:footnote>
  <w:footnote w:id="3">
    <w:p w:rsidR="006B71F4" w:rsidRPr="00E300F1" w:rsidRDefault="006B71F4">
      <w:pPr>
        <w:pStyle w:val="Textonotapie"/>
        <w:rPr>
          <w:rFonts w:asciiTheme="minorHAnsi" w:hAnsiTheme="minorHAnsi"/>
          <w:lang w:val="en-US"/>
        </w:rPr>
      </w:pPr>
      <w:r w:rsidRPr="006B71F4">
        <w:rPr>
          <w:rStyle w:val="Refdenotaalpie"/>
          <w:rFonts w:asciiTheme="minorHAnsi" w:hAnsiTheme="minorHAnsi"/>
        </w:rPr>
        <w:footnoteRef/>
      </w:r>
      <w:r w:rsidR="00D45C1B" w:rsidRPr="00D45C1B">
        <w:rPr>
          <w:rFonts w:asciiTheme="minorHAnsi" w:hAnsiTheme="minorHAnsi"/>
          <w:lang w:val="en-US"/>
        </w:rPr>
        <w:t xml:space="preserve"> </w:t>
      </w:r>
      <w:hyperlink r:id="rId3" w:history="1">
        <w:r w:rsidR="00D45C1B" w:rsidRPr="00D45C1B">
          <w:rPr>
            <w:rStyle w:val="Hipervnculo"/>
            <w:rFonts w:asciiTheme="minorHAnsi" w:hAnsiTheme="minorHAnsi"/>
            <w:color w:val="auto"/>
            <w:u w:val="none"/>
            <w:lang w:val="en-US"/>
          </w:rPr>
          <w:t>Agency for the Cooperation of Energy Regulators</w:t>
        </w:r>
      </w:hyperlink>
    </w:p>
  </w:footnote>
  <w:footnote w:id="4">
    <w:p w:rsidR="00DC7918" w:rsidRDefault="00DC7918">
      <w:pPr>
        <w:pStyle w:val="Textonotapie"/>
      </w:pPr>
      <w:r>
        <w:rPr>
          <w:rStyle w:val="Refdenotaalpie"/>
        </w:rPr>
        <w:footnoteRef/>
      </w:r>
      <w:r>
        <w:t xml:space="preserve"> </w:t>
      </w:r>
      <w:r w:rsidRPr="007228EF">
        <w:rPr>
          <w:rFonts w:asciiTheme="minorHAnsi" w:hAnsiTheme="minorHAnsi"/>
        </w:rPr>
        <w:t>Los proyectos de importancia pan-europea son proyectos candidatos a ser Proyectos de Interés Común, es  decir, proyectos que disfrutan de un procedimiento especial en la tramitación de los permisos requeridos y que pueden obtener recursos de la UE (ya sea en forma de subvenciones, bonos o garantías).</w:t>
      </w:r>
    </w:p>
  </w:footnote>
  <w:footnote w:id="5">
    <w:p w:rsidR="00DC7918" w:rsidRPr="006F44F4" w:rsidRDefault="00DC7918">
      <w:pPr>
        <w:pStyle w:val="Textonotapie"/>
        <w:rPr>
          <w:color w:val="0000FF"/>
        </w:rPr>
      </w:pPr>
      <w:r w:rsidRPr="006F44F4">
        <w:rPr>
          <w:rStyle w:val="Refdenotaalpie"/>
        </w:rPr>
        <w:footnoteRef/>
      </w:r>
      <w:r w:rsidRPr="006F44F4">
        <w:rPr>
          <w:color w:val="0000FF"/>
        </w:rPr>
        <w:t xml:space="preserve"> </w:t>
      </w:r>
      <w:r w:rsidRPr="006F44F4">
        <w:rPr>
          <w:rFonts w:asciiTheme="minorHAnsi" w:hAnsiTheme="minorHAnsi"/>
          <w:color w:val="0000FF"/>
          <w:u w:val="single"/>
        </w:rPr>
        <w:t xml:space="preserve">Ver </w:t>
      </w:r>
      <w:hyperlink r:id="rId4" w:history="1">
        <w:r w:rsidR="00610306" w:rsidRPr="006F44F4">
          <w:rPr>
            <w:rStyle w:val="Hipervnculo"/>
            <w:rFonts w:asciiTheme="minorHAnsi" w:hAnsiTheme="minorHAnsi"/>
          </w:rPr>
          <w:t>Energía</w:t>
        </w:r>
        <w:r w:rsidRPr="006F44F4">
          <w:rPr>
            <w:rStyle w:val="Hipervnculo"/>
            <w:rFonts w:asciiTheme="minorHAnsi" w:hAnsiTheme="minorHAnsi"/>
          </w:rPr>
          <w:t xml:space="preserve"> y Sociedad Informe Ten</w:t>
        </w:r>
        <w:r w:rsidRPr="00610306">
          <w:rPr>
            <w:rStyle w:val="Hipervnculo"/>
            <w:rFonts w:asciiTheme="minorHAnsi" w:hAnsiTheme="minorHAnsi"/>
            <w:lang w:val="en-US"/>
          </w:rPr>
          <w:t xml:space="preserve"> Year</w:t>
        </w:r>
        <w:r w:rsidRPr="006F44F4">
          <w:rPr>
            <w:rStyle w:val="Hipervnculo"/>
            <w:rFonts w:asciiTheme="minorHAnsi" w:hAnsiTheme="minorHAnsi"/>
          </w:rPr>
          <w:t xml:space="preserve"> Network</w:t>
        </w:r>
        <w:r w:rsidRPr="00610306">
          <w:rPr>
            <w:rStyle w:val="Hipervnculo"/>
            <w:rFonts w:asciiTheme="minorHAnsi" w:hAnsiTheme="minorHAnsi"/>
            <w:lang w:val="en-US"/>
          </w:rPr>
          <w:t xml:space="preserve"> Development</w:t>
        </w:r>
        <w:r w:rsidRPr="006F44F4">
          <w:rPr>
            <w:rStyle w:val="Hipervnculo"/>
            <w:rFonts w:asciiTheme="minorHAnsi" w:hAnsiTheme="minorHAnsi"/>
          </w:rPr>
          <w:t xml:space="preserve"> Plan 2010-2020</w:t>
        </w:r>
      </w:hyperlink>
    </w:p>
  </w:footnote>
  <w:footnote w:id="6">
    <w:p w:rsidR="00DC7918" w:rsidRPr="00131C79" w:rsidRDefault="00DC7918">
      <w:pPr>
        <w:pStyle w:val="Textonotapie"/>
        <w:rPr>
          <w:rFonts w:asciiTheme="minorHAnsi" w:hAnsiTheme="minorHAnsi"/>
        </w:rPr>
      </w:pPr>
      <w:r w:rsidRPr="00131C79">
        <w:rPr>
          <w:rStyle w:val="Refdenotaalpie"/>
          <w:rFonts w:asciiTheme="minorHAnsi" w:hAnsiTheme="minorHAnsi"/>
        </w:rPr>
        <w:footnoteRef/>
      </w:r>
      <w:r w:rsidRPr="00131C79">
        <w:rPr>
          <w:rFonts w:asciiTheme="minorHAnsi" w:hAnsiTheme="minorHAnsi"/>
        </w:rPr>
        <w:t xml:space="preserve"> </w:t>
      </w:r>
      <w:hyperlink r:id="rId5" w:history="1">
        <w:r w:rsidRPr="00131C79">
          <w:rPr>
            <w:rStyle w:val="Hipervnculo"/>
            <w:rFonts w:asciiTheme="minorHAnsi" w:hAnsiTheme="minorHAnsi"/>
            <w:color w:val="auto"/>
            <w:u w:val="none"/>
          </w:rPr>
          <w:t>Conclusiones del Consejo Europeo de Barcelona 2002</w:t>
        </w:r>
      </w:hyperlink>
    </w:p>
  </w:footnote>
  <w:footnote w:id="7">
    <w:p w:rsidR="00B710D7" w:rsidRPr="007117D3" w:rsidRDefault="00B710D7">
      <w:pPr>
        <w:pStyle w:val="Textonotapie"/>
        <w:rPr>
          <w:lang w:val="en-US"/>
        </w:rPr>
      </w:pPr>
      <w:r w:rsidRPr="00B710D7">
        <w:rPr>
          <w:rStyle w:val="Refdenotaalpie"/>
          <w:rFonts w:asciiTheme="minorHAnsi" w:hAnsiTheme="minorHAnsi"/>
        </w:rPr>
        <w:footnoteRef/>
      </w:r>
      <w:r w:rsidR="008E3F0E" w:rsidRPr="008E3F0E">
        <w:rPr>
          <w:rFonts w:asciiTheme="minorHAnsi" w:hAnsiTheme="minorHAnsi"/>
          <w:lang w:val="en-US"/>
        </w:rPr>
        <w:t xml:space="preserve"> </w:t>
      </w:r>
      <w:r w:rsidRPr="00B710D7">
        <w:rPr>
          <w:rFonts w:asciiTheme="minorHAnsi" w:hAnsiTheme="minorHAnsi"/>
          <w:lang w:val="en-US"/>
        </w:rPr>
        <w:t>TSO: Transmission System Operator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BF" w:rsidRDefault="003D20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86" w:type="dxa"/>
      <w:tblCellMar>
        <w:left w:w="70" w:type="dxa"/>
        <w:right w:w="70" w:type="dxa"/>
      </w:tblCellMar>
      <w:tblLook w:val="0000"/>
    </w:tblPr>
    <w:tblGrid>
      <w:gridCol w:w="2279"/>
      <w:gridCol w:w="1065"/>
      <w:gridCol w:w="3729"/>
      <w:gridCol w:w="1835"/>
      <w:gridCol w:w="1078"/>
    </w:tblGrid>
    <w:tr w:rsidR="005A5EB8">
      <w:trPr>
        <w:cantSplit/>
        <w:trHeight w:val="1326"/>
      </w:trPr>
      <w:tc>
        <w:tcPr>
          <w:tcW w:w="2279" w:type="dxa"/>
          <w:tcBorders>
            <w:top w:val="nil"/>
            <w:left w:val="nil"/>
            <w:bottom w:val="nil"/>
            <w:right w:val="nil"/>
          </w:tcBorders>
        </w:tcPr>
        <w:p w:rsidR="005A5EB8" w:rsidRPr="00CB2EB9" w:rsidRDefault="005546E0" w:rsidP="002C3909">
          <w:pPr>
            <w:pStyle w:val="Encabezado"/>
            <w:tabs>
              <w:tab w:val="left" w:pos="142"/>
              <w:tab w:val="left" w:pos="567"/>
              <w:tab w:val="left" w:pos="851"/>
              <w:tab w:val="left" w:pos="1134"/>
            </w:tabs>
            <w:jc w:val="both"/>
            <w:rPr>
              <w:rFonts w:ascii="Calibri" w:hAnsi="Calibri" w:cs="Calibri"/>
              <w:sz w:val="20"/>
              <w:szCs w:val="20"/>
            </w:rPr>
          </w:pPr>
          <w:r>
            <w:rPr>
              <w:rFonts w:ascii="Calibri" w:hAnsi="Calibri" w:cs="Calibri"/>
              <w:sz w:val="20"/>
              <w:szCs w:val="20"/>
            </w:rPr>
            <w:t>31</w:t>
          </w:r>
          <w:r w:rsidR="005A5EB8">
            <w:rPr>
              <w:rFonts w:ascii="Calibri" w:hAnsi="Calibri" w:cs="Calibri"/>
              <w:sz w:val="20"/>
              <w:szCs w:val="20"/>
            </w:rPr>
            <w:t xml:space="preserve"> de julio</w:t>
          </w:r>
          <w:r w:rsidR="005A5EB8" w:rsidRPr="00CB2EB9">
            <w:rPr>
              <w:rFonts w:ascii="Calibri" w:hAnsi="Calibri" w:cs="Calibri"/>
              <w:sz w:val="20"/>
              <w:szCs w:val="20"/>
            </w:rPr>
            <w:t xml:space="preserve"> de 201</w:t>
          </w:r>
          <w:r w:rsidR="005A5EB8">
            <w:rPr>
              <w:rFonts w:ascii="Calibri" w:hAnsi="Calibri" w:cs="Calibri"/>
              <w:sz w:val="20"/>
              <w:szCs w:val="20"/>
            </w:rPr>
            <w:t>2</w:t>
          </w:r>
        </w:p>
      </w:tc>
      <w:tc>
        <w:tcPr>
          <w:tcW w:w="1065" w:type="dxa"/>
          <w:tcBorders>
            <w:top w:val="nil"/>
            <w:left w:val="nil"/>
            <w:bottom w:val="nil"/>
            <w:right w:val="nil"/>
          </w:tcBorders>
        </w:tcPr>
        <w:p w:rsidR="005A5EB8" w:rsidRPr="002E0E9C" w:rsidRDefault="005A5EB8">
          <w:pPr>
            <w:pStyle w:val="Encabezado"/>
            <w:tabs>
              <w:tab w:val="left" w:pos="142"/>
              <w:tab w:val="left" w:pos="567"/>
              <w:tab w:val="left" w:pos="851"/>
              <w:tab w:val="left" w:pos="1134"/>
            </w:tabs>
            <w:rPr>
              <w:rFonts w:ascii="Calibri" w:hAnsi="Calibri" w:cs="Calibri"/>
              <w:sz w:val="20"/>
              <w:szCs w:val="20"/>
            </w:rPr>
          </w:pPr>
        </w:p>
      </w:tc>
      <w:tc>
        <w:tcPr>
          <w:tcW w:w="3729" w:type="dxa"/>
          <w:tcBorders>
            <w:top w:val="nil"/>
            <w:left w:val="nil"/>
            <w:bottom w:val="nil"/>
            <w:right w:val="nil"/>
          </w:tcBorders>
          <w:vAlign w:val="center"/>
        </w:tcPr>
        <w:p w:rsidR="005A5EB8" w:rsidRDefault="00753665">
          <w:pPr>
            <w:pStyle w:val="Encabezado"/>
            <w:tabs>
              <w:tab w:val="left" w:pos="142"/>
              <w:tab w:val="left" w:pos="567"/>
              <w:tab w:val="left" w:pos="851"/>
              <w:tab w:val="left" w:pos="1134"/>
            </w:tabs>
            <w:jc w:val="center"/>
            <w:rPr>
              <w:rFonts w:ascii="Calibri" w:hAnsi="Calibri" w:cs="Calibri"/>
              <w:sz w:val="20"/>
              <w:szCs w:val="20"/>
            </w:rPr>
          </w:pPr>
          <w:r>
            <w:rPr>
              <w:noProof/>
              <w:lang w:val="es-ES"/>
            </w:rPr>
            <w:drawing>
              <wp:inline distT="0" distB="0" distL="0" distR="0">
                <wp:extent cx="1016635" cy="54864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016635" cy="548640"/>
                        </a:xfrm>
                        <a:prstGeom prst="rect">
                          <a:avLst/>
                        </a:prstGeom>
                        <a:noFill/>
                        <a:ln w="9525">
                          <a:noFill/>
                          <a:miter lim="800000"/>
                          <a:headEnd/>
                          <a:tailEnd/>
                        </a:ln>
                      </pic:spPr>
                    </pic:pic>
                  </a:graphicData>
                </a:graphic>
              </wp:inline>
            </w:drawing>
          </w:r>
        </w:p>
      </w:tc>
      <w:tc>
        <w:tcPr>
          <w:tcW w:w="1835" w:type="dxa"/>
          <w:tcBorders>
            <w:top w:val="nil"/>
            <w:left w:val="nil"/>
            <w:bottom w:val="nil"/>
            <w:right w:val="nil"/>
          </w:tcBorders>
        </w:tcPr>
        <w:p w:rsidR="005A5EB8" w:rsidRDefault="005A5EB8">
          <w:pPr>
            <w:pStyle w:val="Encabezado"/>
            <w:tabs>
              <w:tab w:val="left" w:pos="142"/>
              <w:tab w:val="left" w:pos="567"/>
              <w:tab w:val="left" w:pos="851"/>
              <w:tab w:val="left" w:pos="1134"/>
            </w:tabs>
            <w:rPr>
              <w:rFonts w:ascii="Calibri" w:hAnsi="Calibri" w:cs="Calibri"/>
              <w:sz w:val="20"/>
              <w:szCs w:val="20"/>
            </w:rPr>
          </w:pPr>
        </w:p>
      </w:tc>
      <w:tc>
        <w:tcPr>
          <w:tcW w:w="1078" w:type="dxa"/>
          <w:tcBorders>
            <w:top w:val="nil"/>
            <w:left w:val="nil"/>
            <w:bottom w:val="nil"/>
            <w:right w:val="nil"/>
          </w:tcBorders>
        </w:tcPr>
        <w:p w:rsidR="005A5EB8" w:rsidRDefault="005546E0" w:rsidP="002C3909">
          <w:pPr>
            <w:pStyle w:val="Encabezado"/>
            <w:tabs>
              <w:tab w:val="left" w:pos="72"/>
              <w:tab w:val="left" w:pos="567"/>
              <w:tab w:val="left" w:pos="851"/>
              <w:tab w:val="left" w:pos="1134"/>
            </w:tabs>
            <w:ind w:hanging="212"/>
            <w:jc w:val="center"/>
            <w:rPr>
              <w:rFonts w:ascii="Calibri" w:hAnsi="Calibri" w:cs="Calibri"/>
              <w:sz w:val="20"/>
              <w:szCs w:val="20"/>
            </w:rPr>
          </w:pPr>
          <w:r>
            <w:rPr>
              <w:rFonts w:ascii="Calibri" w:hAnsi="Calibri" w:cs="Calibri"/>
              <w:sz w:val="20"/>
              <w:szCs w:val="20"/>
            </w:rPr>
            <w:t xml:space="preserve"> Número 77</w:t>
          </w:r>
        </w:p>
      </w:tc>
    </w:tr>
    <w:tr w:rsidR="005A5EB8">
      <w:trPr>
        <w:cantSplit/>
        <w:trHeight w:val="253"/>
      </w:trPr>
      <w:tc>
        <w:tcPr>
          <w:tcW w:w="2279" w:type="dxa"/>
          <w:tcBorders>
            <w:top w:val="nil"/>
            <w:left w:val="nil"/>
            <w:bottom w:val="nil"/>
            <w:right w:val="nil"/>
          </w:tcBorders>
        </w:tcPr>
        <w:p w:rsidR="005A5EB8" w:rsidRDefault="005A5EB8">
          <w:pPr>
            <w:pStyle w:val="Encabezado"/>
            <w:tabs>
              <w:tab w:val="left" w:pos="142"/>
              <w:tab w:val="left" w:pos="567"/>
              <w:tab w:val="left" w:pos="851"/>
              <w:tab w:val="left" w:pos="1134"/>
            </w:tabs>
            <w:rPr>
              <w:rFonts w:ascii="Calibri" w:hAnsi="Calibri" w:cs="Calibri"/>
              <w:sz w:val="20"/>
              <w:szCs w:val="20"/>
            </w:rPr>
          </w:pPr>
        </w:p>
      </w:tc>
      <w:tc>
        <w:tcPr>
          <w:tcW w:w="1065" w:type="dxa"/>
          <w:tcBorders>
            <w:top w:val="nil"/>
            <w:left w:val="nil"/>
            <w:bottom w:val="nil"/>
            <w:right w:val="nil"/>
          </w:tcBorders>
        </w:tcPr>
        <w:p w:rsidR="005A5EB8" w:rsidRDefault="005A5EB8">
          <w:pPr>
            <w:pStyle w:val="Encabezado"/>
            <w:tabs>
              <w:tab w:val="left" w:pos="142"/>
              <w:tab w:val="left" w:pos="567"/>
              <w:tab w:val="left" w:pos="851"/>
              <w:tab w:val="left" w:pos="1134"/>
            </w:tabs>
            <w:rPr>
              <w:rFonts w:ascii="Calibri" w:hAnsi="Calibri" w:cs="Calibri"/>
              <w:sz w:val="20"/>
              <w:szCs w:val="20"/>
            </w:rPr>
          </w:pPr>
        </w:p>
      </w:tc>
      <w:tc>
        <w:tcPr>
          <w:tcW w:w="3729" w:type="dxa"/>
          <w:tcBorders>
            <w:top w:val="nil"/>
            <w:left w:val="nil"/>
            <w:bottom w:val="nil"/>
            <w:right w:val="nil"/>
          </w:tcBorders>
        </w:tcPr>
        <w:p w:rsidR="005A5EB8" w:rsidRDefault="005A5EB8">
          <w:pPr>
            <w:pStyle w:val="Encabezado"/>
            <w:tabs>
              <w:tab w:val="left" w:pos="142"/>
              <w:tab w:val="left" w:pos="567"/>
              <w:tab w:val="left" w:pos="851"/>
              <w:tab w:val="left" w:pos="1134"/>
            </w:tabs>
            <w:rPr>
              <w:rFonts w:ascii="Calibri" w:hAnsi="Calibri" w:cs="Calibri"/>
              <w:sz w:val="20"/>
              <w:szCs w:val="20"/>
            </w:rPr>
          </w:pPr>
        </w:p>
      </w:tc>
      <w:tc>
        <w:tcPr>
          <w:tcW w:w="1835" w:type="dxa"/>
          <w:tcBorders>
            <w:top w:val="nil"/>
            <w:left w:val="nil"/>
            <w:bottom w:val="nil"/>
            <w:right w:val="nil"/>
          </w:tcBorders>
        </w:tcPr>
        <w:p w:rsidR="005A5EB8" w:rsidRDefault="005A5EB8">
          <w:pPr>
            <w:pStyle w:val="Encabezado"/>
            <w:tabs>
              <w:tab w:val="left" w:pos="142"/>
              <w:tab w:val="left" w:pos="567"/>
              <w:tab w:val="left" w:pos="851"/>
              <w:tab w:val="left" w:pos="1134"/>
            </w:tabs>
            <w:rPr>
              <w:rFonts w:ascii="Calibri" w:hAnsi="Calibri" w:cs="Calibri"/>
              <w:sz w:val="20"/>
              <w:szCs w:val="20"/>
            </w:rPr>
          </w:pPr>
        </w:p>
      </w:tc>
      <w:tc>
        <w:tcPr>
          <w:tcW w:w="1078" w:type="dxa"/>
          <w:tcBorders>
            <w:top w:val="nil"/>
            <w:left w:val="nil"/>
            <w:bottom w:val="nil"/>
            <w:right w:val="nil"/>
          </w:tcBorders>
        </w:tcPr>
        <w:p w:rsidR="005A5EB8" w:rsidRDefault="005A5EB8">
          <w:pPr>
            <w:pStyle w:val="Encabezado"/>
            <w:tabs>
              <w:tab w:val="left" w:pos="142"/>
              <w:tab w:val="left" w:pos="567"/>
              <w:tab w:val="left" w:pos="851"/>
              <w:tab w:val="left" w:pos="1134"/>
            </w:tabs>
            <w:rPr>
              <w:rFonts w:ascii="Calibri" w:hAnsi="Calibri" w:cs="Calibri"/>
              <w:sz w:val="20"/>
              <w:szCs w:val="20"/>
            </w:rPr>
          </w:pPr>
        </w:p>
      </w:tc>
    </w:tr>
  </w:tbl>
  <w:p w:rsidR="005A5EB8" w:rsidRDefault="005A5EB8" w:rsidP="00B711BC">
    <w:pPr>
      <w:pStyle w:val="Encabezado"/>
      <w:tabs>
        <w:tab w:val="left" w:pos="142"/>
        <w:tab w:val="left" w:pos="567"/>
        <w:tab w:val="left" w:pos="851"/>
        <w:tab w:val="left" w:pos="1134"/>
      </w:tabs>
      <w:rPr>
        <w:rFonts w:ascii="Calibri" w:hAnsi="Calibri" w:cs="Calibr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BF" w:rsidRDefault="003D20B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814D2CA"/>
    <w:lvl w:ilvl="0">
      <w:start w:val="1"/>
      <w:numFmt w:val="decimal"/>
      <w:lvlText w:val="%1."/>
      <w:lvlJc w:val="left"/>
      <w:pPr>
        <w:tabs>
          <w:tab w:val="num" w:pos="643"/>
        </w:tabs>
        <w:ind w:left="643" w:hanging="360"/>
      </w:pPr>
    </w:lvl>
  </w:abstractNum>
  <w:abstractNum w:abstractNumId="1">
    <w:nsid w:val="FFFFFF88"/>
    <w:multiLevelType w:val="singleLevel"/>
    <w:tmpl w:val="E1589A62"/>
    <w:lvl w:ilvl="0">
      <w:start w:val="1"/>
      <w:numFmt w:val="decimal"/>
      <w:lvlText w:val="%1."/>
      <w:lvlJc w:val="left"/>
      <w:pPr>
        <w:tabs>
          <w:tab w:val="num" w:pos="360"/>
        </w:tabs>
        <w:ind w:left="360" w:hanging="360"/>
      </w:pPr>
    </w:lvl>
  </w:abstractNum>
  <w:abstractNum w:abstractNumId="2">
    <w:nsid w:val="08AF4451"/>
    <w:multiLevelType w:val="hybridMultilevel"/>
    <w:tmpl w:val="53066B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210B49"/>
    <w:multiLevelType w:val="hybridMultilevel"/>
    <w:tmpl w:val="6568D4EC"/>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isplayBackgroundShape/>
  <w:proofState w:spelling="clean" w:grammar="clean"/>
  <w:stylePaneFormatFilter w:val="3F01"/>
  <w:trackRevisions/>
  <w:defaultTabStop w:val="709"/>
  <w:hyphenationZone w:val="425"/>
  <w:doNotHyphenateCaps/>
  <w:characterSpacingControl w:val="doNotCompress"/>
  <w:hdrShapeDefaults>
    <o:shapedefaults v:ext="edit" spidmax="13313"/>
  </w:hdrShapeDefaults>
  <w:footnotePr>
    <w:footnote w:id="-1"/>
    <w:footnote w:id="0"/>
  </w:footnotePr>
  <w:endnotePr>
    <w:endnote w:id="-1"/>
    <w:endnote w:id="0"/>
  </w:endnotePr>
  <w:compat/>
  <w:rsids>
    <w:rsidRoot w:val="00717C80"/>
    <w:rsid w:val="00001B60"/>
    <w:rsid w:val="00002C26"/>
    <w:rsid w:val="00003A12"/>
    <w:rsid w:val="00004297"/>
    <w:rsid w:val="00004E1C"/>
    <w:rsid w:val="00005B6D"/>
    <w:rsid w:val="00006DF7"/>
    <w:rsid w:val="00011E3E"/>
    <w:rsid w:val="000131AF"/>
    <w:rsid w:val="00014308"/>
    <w:rsid w:val="000145A7"/>
    <w:rsid w:val="000155CD"/>
    <w:rsid w:val="00016BE3"/>
    <w:rsid w:val="00016FE4"/>
    <w:rsid w:val="000216B3"/>
    <w:rsid w:val="00022F6F"/>
    <w:rsid w:val="000257A9"/>
    <w:rsid w:val="00025A63"/>
    <w:rsid w:val="000263E8"/>
    <w:rsid w:val="00026826"/>
    <w:rsid w:val="000277A4"/>
    <w:rsid w:val="00027D3C"/>
    <w:rsid w:val="0003011C"/>
    <w:rsid w:val="000303B2"/>
    <w:rsid w:val="000312D2"/>
    <w:rsid w:val="0003167D"/>
    <w:rsid w:val="00034DF3"/>
    <w:rsid w:val="000357C5"/>
    <w:rsid w:val="000361A9"/>
    <w:rsid w:val="00040208"/>
    <w:rsid w:val="000415B9"/>
    <w:rsid w:val="00041689"/>
    <w:rsid w:val="00042EF8"/>
    <w:rsid w:val="000440A9"/>
    <w:rsid w:val="00046DA4"/>
    <w:rsid w:val="0004777F"/>
    <w:rsid w:val="0005108B"/>
    <w:rsid w:val="00051323"/>
    <w:rsid w:val="00055BB8"/>
    <w:rsid w:val="00055E97"/>
    <w:rsid w:val="0005615C"/>
    <w:rsid w:val="0005617A"/>
    <w:rsid w:val="00056E5E"/>
    <w:rsid w:val="00060007"/>
    <w:rsid w:val="00060210"/>
    <w:rsid w:val="000604AD"/>
    <w:rsid w:val="000611FF"/>
    <w:rsid w:val="0006159A"/>
    <w:rsid w:val="00061C1A"/>
    <w:rsid w:val="00062380"/>
    <w:rsid w:val="00062678"/>
    <w:rsid w:val="00065B54"/>
    <w:rsid w:val="00065DAF"/>
    <w:rsid w:val="00065F4C"/>
    <w:rsid w:val="000662FF"/>
    <w:rsid w:val="00066828"/>
    <w:rsid w:val="00067013"/>
    <w:rsid w:val="00070C09"/>
    <w:rsid w:val="000719A4"/>
    <w:rsid w:val="000723F2"/>
    <w:rsid w:val="000724EF"/>
    <w:rsid w:val="00080157"/>
    <w:rsid w:val="0008023B"/>
    <w:rsid w:val="000803C7"/>
    <w:rsid w:val="000807F5"/>
    <w:rsid w:val="00081CB1"/>
    <w:rsid w:val="0008264C"/>
    <w:rsid w:val="00084446"/>
    <w:rsid w:val="0008499B"/>
    <w:rsid w:val="00084FFC"/>
    <w:rsid w:val="000872A8"/>
    <w:rsid w:val="00087A76"/>
    <w:rsid w:val="00090289"/>
    <w:rsid w:val="000905BF"/>
    <w:rsid w:val="00090F49"/>
    <w:rsid w:val="00091DB4"/>
    <w:rsid w:val="00091F1C"/>
    <w:rsid w:val="00091FEC"/>
    <w:rsid w:val="000920E4"/>
    <w:rsid w:val="000927DB"/>
    <w:rsid w:val="000936AE"/>
    <w:rsid w:val="00093B96"/>
    <w:rsid w:val="00093E68"/>
    <w:rsid w:val="00095788"/>
    <w:rsid w:val="000962A9"/>
    <w:rsid w:val="0009710D"/>
    <w:rsid w:val="000A0B22"/>
    <w:rsid w:val="000A0F30"/>
    <w:rsid w:val="000A1554"/>
    <w:rsid w:val="000A1CC8"/>
    <w:rsid w:val="000A3E2A"/>
    <w:rsid w:val="000A4EB0"/>
    <w:rsid w:val="000A591D"/>
    <w:rsid w:val="000A5C01"/>
    <w:rsid w:val="000A5D86"/>
    <w:rsid w:val="000A71A5"/>
    <w:rsid w:val="000A7DF4"/>
    <w:rsid w:val="000A7E15"/>
    <w:rsid w:val="000B2FC6"/>
    <w:rsid w:val="000B4135"/>
    <w:rsid w:val="000B505D"/>
    <w:rsid w:val="000B52F7"/>
    <w:rsid w:val="000B7CC2"/>
    <w:rsid w:val="000C14C7"/>
    <w:rsid w:val="000C164C"/>
    <w:rsid w:val="000C1676"/>
    <w:rsid w:val="000C2122"/>
    <w:rsid w:val="000C322A"/>
    <w:rsid w:val="000C4884"/>
    <w:rsid w:val="000C533A"/>
    <w:rsid w:val="000C7107"/>
    <w:rsid w:val="000C7564"/>
    <w:rsid w:val="000D107D"/>
    <w:rsid w:val="000D16A2"/>
    <w:rsid w:val="000D197D"/>
    <w:rsid w:val="000D2C92"/>
    <w:rsid w:val="000D329E"/>
    <w:rsid w:val="000D4210"/>
    <w:rsid w:val="000D4247"/>
    <w:rsid w:val="000D52FE"/>
    <w:rsid w:val="000D550C"/>
    <w:rsid w:val="000D70A2"/>
    <w:rsid w:val="000D72F8"/>
    <w:rsid w:val="000E012E"/>
    <w:rsid w:val="000E2798"/>
    <w:rsid w:val="000E306D"/>
    <w:rsid w:val="000E36A6"/>
    <w:rsid w:val="000E3BD4"/>
    <w:rsid w:val="000E3D88"/>
    <w:rsid w:val="000E4056"/>
    <w:rsid w:val="000E57B0"/>
    <w:rsid w:val="000E676D"/>
    <w:rsid w:val="000E6EF8"/>
    <w:rsid w:val="000F074D"/>
    <w:rsid w:val="000F1075"/>
    <w:rsid w:val="000F174B"/>
    <w:rsid w:val="000F2E4F"/>
    <w:rsid w:val="000F46B6"/>
    <w:rsid w:val="000F47BE"/>
    <w:rsid w:val="000F4DBA"/>
    <w:rsid w:val="000F5B86"/>
    <w:rsid w:val="000F785A"/>
    <w:rsid w:val="000F7BC9"/>
    <w:rsid w:val="0010117F"/>
    <w:rsid w:val="00104E3E"/>
    <w:rsid w:val="00105F65"/>
    <w:rsid w:val="0010698B"/>
    <w:rsid w:val="001071F1"/>
    <w:rsid w:val="001072F2"/>
    <w:rsid w:val="00110062"/>
    <w:rsid w:val="001105B0"/>
    <w:rsid w:val="0011144B"/>
    <w:rsid w:val="00114C4E"/>
    <w:rsid w:val="00114D47"/>
    <w:rsid w:val="001166FE"/>
    <w:rsid w:val="00116C06"/>
    <w:rsid w:val="00117C9F"/>
    <w:rsid w:val="00121D20"/>
    <w:rsid w:val="0012216D"/>
    <w:rsid w:val="0012404A"/>
    <w:rsid w:val="00124248"/>
    <w:rsid w:val="00126017"/>
    <w:rsid w:val="0012609F"/>
    <w:rsid w:val="0012674F"/>
    <w:rsid w:val="00126D88"/>
    <w:rsid w:val="00127055"/>
    <w:rsid w:val="0012775E"/>
    <w:rsid w:val="00127B66"/>
    <w:rsid w:val="0013106F"/>
    <w:rsid w:val="00131C79"/>
    <w:rsid w:val="00131DE3"/>
    <w:rsid w:val="00132BDB"/>
    <w:rsid w:val="001334EE"/>
    <w:rsid w:val="00134835"/>
    <w:rsid w:val="00134F80"/>
    <w:rsid w:val="00135192"/>
    <w:rsid w:val="00135580"/>
    <w:rsid w:val="00135F31"/>
    <w:rsid w:val="00136711"/>
    <w:rsid w:val="001369F5"/>
    <w:rsid w:val="00140A6A"/>
    <w:rsid w:val="0014100A"/>
    <w:rsid w:val="00141730"/>
    <w:rsid w:val="00141EA9"/>
    <w:rsid w:val="0014203E"/>
    <w:rsid w:val="00142242"/>
    <w:rsid w:val="00142BFE"/>
    <w:rsid w:val="00142EB6"/>
    <w:rsid w:val="0014377C"/>
    <w:rsid w:val="001437EF"/>
    <w:rsid w:val="00143DA2"/>
    <w:rsid w:val="001444F9"/>
    <w:rsid w:val="00145CF5"/>
    <w:rsid w:val="00146F30"/>
    <w:rsid w:val="0015045D"/>
    <w:rsid w:val="0015215C"/>
    <w:rsid w:val="00153016"/>
    <w:rsid w:val="00155A08"/>
    <w:rsid w:val="001562CD"/>
    <w:rsid w:val="001563D3"/>
    <w:rsid w:val="001566B7"/>
    <w:rsid w:val="00156AE3"/>
    <w:rsid w:val="0015752D"/>
    <w:rsid w:val="00157CC4"/>
    <w:rsid w:val="00157FB2"/>
    <w:rsid w:val="00162073"/>
    <w:rsid w:val="00162B55"/>
    <w:rsid w:val="00164CF2"/>
    <w:rsid w:val="00165C4B"/>
    <w:rsid w:val="00170C18"/>
    <w:rsid w:val="00171824"/>
    <w:rsid w:val="00171ED0"/>
    <w:rsid w:val="00172A5C"/>
    <w:rsid w:val="001734E0"/>
    <w:rsid w:val="00173890"/>
    <w:rsid w:val="001747BC"/>
    <w:rsid w:val="0017480A"/>
    <w:rsid w:val="00174B49"/>
    <w:rsid w:val="0017588E"/>
    <w:rsid w:val="00177E1C"/>
    <w:rsid w:val="00180E17"/>
    <w:rsid w:val="00182120"/>
    <w:rsid w:val="00182537"/>
    <w:rsid w:val="00183382"/>
    <w:rsid w:val="0018457D"/>
    <w:rsid w:val="00184797"/>
    <w:rsid w:val="00184E2F"/>
    <w:rsid w:val="001862CD"/>
    <w:rsid w:val="0018631D"/>
    <w:rsid w:val="001865C2"/>
    <w:rsid w:val="001868C9"/>
    <w:rsid w:val="001870A8"/>
    <w:rsid w:val="00187257"/>
    <w:rsid w:val="00190542"/>
    <w:rsid w:val="00190B3A"/>
    <w:rsid w:val="00192533"/>
    <w:rsid w:val="001929F5"/>
    <w:rsid w:val="00192C5A"/>
    <w:rsid w:val="001934D3"/>
    <w:rsid w:val="00195A36"/>
    <w:rsid w:val="0019703A"/>
    <w:rsid w:val="00197BFC"/>
    <w:rsid w:val="001A24B5"/>
    <w:rsid w:val="001A2B99"/>
    <w:rsid w:val="001A3627"/>
    <w:rsid w:val="001A3FB4"/>
    <w:rsid w:val="001A4AD6"/>
    <w:rsid w:val="001A6820"/>
    <w:rsid w:val="001A68C9"/>
    <w:rsid w:val="001A6964"/>
    <w:rsid w:val="001A7FF3"/>
    <w:rsid w:val="001B06CB"/>
    <w:rsid w:val="001B0AA8"/>
    <w:rsid w:val="001B1368"/>
    <w:rsid w:val="001B1DE1"/>
    <w:rsid w:val="001B37F1"/>
    <w:rsid w:val="001B3B34"/>
    <w:rsid w:val="001B3C8A"/>
    <w:rsid w:val="001B3E28"/>
    <w:rsid w:val="001B5F4F"/>
    <w:rsid w:val="001B7B9E"/>
    <w:rsid w:val="001B7DF8"/>
    <w:rsid w:val="001C16C6"/>
    <w:rsid w:val="001C228F"/>
    <w:rsid w:val="001C318E"/>
    <w:rsid w:val="001C3515"/>
    <w:rsid w:val="001C3800"/>
    <w:rsid w:val="001C3EB9"/>
    <w:rsid w:val="001C5055"/>
    <w:rsid w:val="001C537F"/>
    <w:rsid w:val="001C5C43"/>
    <w:rsid w:val="001C6375"/>
    <w:rsid w:val="001C6393"/>
    <w:rsid w:val="001C645D"/>
    <w:rsid w:val="001C71AC"/>
    <w:rsid w:val="001C78A7"/>
    <w:rsid w:val="001C7DC8"/>
    <w:rsid w:val="001D0292"/>
    <w:rsid w:val="001D0650"/>
    <w:rsid w:val="001D2BFB"/>
    <w:rsid w:val="001D2C50"/>
    <w:rsid w:val="001D57CA"/>
    <w:rsid w:val="001D6514"/>
    <w:rsid w:val="001D735D"/>
    <w:rsid w:val="001D757F"/>
    <w:rsid w:val="001D7B36"/>
    <w:rsid w:val="001D7C2C"/>
    <w:rsid w:val="001E188B"/>
    <w:rsid w:val="001E384C"/>
    <w:rsid w:val="001E3CCE"/>
    <w:rsid w:val="001E5091"/>
    <w:rsid w:val="001E5C90"/>
    <w:rsid w:val="001E6006"/>
    <w:rsid w:val="001E6282"/>
    <w:rsid w:val="001E7263"/>
    <w:rsid w:val="001F3054"/>
    <w:rsid w:val="001F3751"/>
    <w:rsid w:val="001F3B12"/>
    <w:rsid w:val="001F3B89"/>
    <w:rsid w:val="001F507C"/>
    <w:rsid w:val="001F5ACD"/>
    <w:rsid w:val="001F5D8F"/>
    <w:rsid w:val="0020033D"/>
    <w:rsid w:val="002006E9"/>
    <w:rsid w:val="002045CA"/>
    <w:rsid w:val="00206850"/>
    <w:rsid w:val="00206EB4"/>
    <w:rsid w:val="00207081"/>
    <w:rsid w:val="00207306"/>
    <w:rsid w:val="002079CA"/>
    <w:rsid w:val="00207E4E"/>
    <w:rsid w:val="00210101"/>
    <w:rsid w:val="00210F4A"/>
    <w:rsid w:val="00211639"/>
    <w:rsid w:val="00211C34"/>
    <w:rsid w:val="002125C8"/>
    <w:rsid w:val="002138C3"/>
    <w:rsid w:val="00213D4A"/>
    <w:rsid w:val="00214B11"/>
    <w:rsid w:val="002161B8"/>
    <w:rsid w:val="002162B4"/>
    <w:rsid w:val="002164BE"/>
    <w:rsid w:val="00217BF1"/>
    <w:rsid w:val="002216F1"/>
    <w:rsid w:val="002238EC"/>
    <w:rsid w:val="00224CF6"/>
    <w:rsid w:val="00226045"/>
    <w:rsid w:val="00230BDB"/>
    <w:rsid w:val="0023408C"/>
    <w:rsid w:val="00235331"/>
    <w:rsid w:val="00236646"/>
    <w:rsid w:val="00237376"/>
    <w:rsid w:val="002374CE"/>
    <w:rsid w:val="002375FF"/>
    <w:rsid w:val="002376E7"/>
    <w:rsid w:val="00237ED4"/>
    <w:rsid w:val="002400F7"/>
    <w:rsid w:val="00240D91"/>
    <w:rsid w:val="0024133D"/>
    <w:rsid w:val="0024199A"/>
    <w:rsid w:val="00242080"/>
    <w:rsid w:val="0024293F"/>
    <w:rsid w:val="00243793"/>
    <w:rsid w:val="00243AB4"/>
    <w:rsid w:val="00243DD5"/>
    <w:rsid w:val="00244209"/>
    <w:rsid w:val="00244302"/>
    <w:rsid w:val="00245DEC"/>
    <w:rsid w:val="00246FAD"/>
    <w:rsid w:val="00247234"/>
    <w:rsid w:val="00250734"/>
    <w:rsid w:val="00250753"/>
    <w:rsid w:val="0025193F"/>
    <w:rsid w:val="00252259"/>
    <w:rsid w:val="002523CF"/>
    <w:rsid w:val="00252AC7"/>
    <w:rsid w:val="0025439A"/>
    <w:rsid w:val="00255334"/>
    <w:rsid w:val="00256A1C"/>
    <w:rsid w:val="00256A78"/>
    <w:rsid w:val="00257307"/>
    <w:rsid w:val="0025765F"/>
    <w:rsid w:val="00257E65"/>
    <w:rsid w:val="00260588"/>
    <w:rsid w:val="002605BA"/>
    <w:rsid w:val="00260F13"/>
    <w:rsid w:val="002627AA"/>
    <w:rsid w:val="00262C3F"/>
    <w:rsid w:val="002633DC"/>
    <w:rsid w:val="00263BC2"/>
    <w:rsid w:val="00264F7B"/>
    <w:rsid w:val="00266A33"/>
    <w:rsid w:val="00267A49"/>
    <w:rsid w:val="00270C2E"/>
    <w:rsid w:val="002719E1"/>
    <w:rsid w:val="00271E67"/>
    <w:rsid w:val="00272BC3"/>
    <w:rsid w:val="002734C9"/>
    <w:rsid w:val="0027516D"/>
    <w:rsid w:val="002822B8"/>
    <w:rsid w:val="00282523"/>
    <w:rsid w:val="00282A0F"/>
    <w:rsid w:val="0028385B"/>
    <w:rsid w:val="00283A17"/>
    <w:rsid w:val="0028419D"/>
    <w:rsid w:val="00284881"/>
    <w:rsid w:val="00286C89"/>
    <w:rsid w:val="00286E4B"/>
    <w:rsid w:val="002871F8"/>
    <w:rsid w:val="00287478"/>
    <w:rsid w:val="002901FC"/>
    <w:rsid w:val="002913EE"/>
    <w:rsid w:val="00292361"/>
    <w:rsid w:val="0029253E"/>
    <w:rsid w:val="00292D8F"/>
    <w:rsid w:val="00292F27"/>
    <w:rsid w:val="0029466F"/>
    <w:rsid w:val="002950D0"/>
    <w:rsid w:val="00295830"/>
    <w:rsid w:val="00296D8E"/>
    <w:rsid w:val="002978D3"/>
    <w:rsid w:val="002A141A"/>
    <w:rsid w:val="002A142F"/>
    <w:rsid w:val="002A19D7"/>
    <w:rsid w:val="002A2D1F"/>
    <w:rsid w:val="002A30EA"/>
    <w:rsid w:val="002A35E9"/>
    <w:rsid w:val="002A3641"/>
    <w:rsid w:val="002A38F9"/>
    <w:rsid w:val="002A4B92"/>
    <w:rsid w:val="002A52B2"/>
    <w:rsid w:val="002A6CB0"/>
    <w:rsid w:val="002A7584"/>
    <w:rsid w:val="002B06EC"/>
    <w:rsid w:val="002B0777"/>
    <w:rsid w:val="002B19E9"/>
    <w:rsid w:val="002B1CE4"/>
    <w:rsid w:val="002B3F1C"/>
    <w:rsid w:val="002B4302"/>
    <w:rsid w:val="002B5C5B"/>
    <w:rsid w:val="002B6993"/>
    <w:rsid w:val="002B73CA"/>
    <w:rsid w:val="002B761E"/>
    <w:rsid w:val="002B7AC2"/>
    <w:rsid w:val="002C11E6"/>
    <w:rsid w:val="002C1202"/>
    <w:rsid w:val="002C2802"/>
    <w:rsid w:val="002C3374"/>
    <w:rsid w:val="002C33DB"/>
    <w:rsid w:val="002C3909"/>
    <w:rsid w:val="002C3954"/>
    <w:rsid w:val="002C3D3B"/>
    <w:rsid w:val="002C679B"/>
    <w:rsid w:val="002C6AAA"/>
    <w:rsid w:val="002D1533"/>
    <w:rsid w:val="002D1F70"/>
    <w:rsid w:val="002D2128"/>
    <w:rsid w:val="002D3220"/>
    <w:rsid w:val="002D3253"/>
    <w:rsid w:val="002D3B82"/>
    <w:rsid w:val="002D3D91"/>
    <w:rsid w:val="002D5C80"/>
    <w:rsid w:val="002D5C90"/>
    <w:rsid w:val="002D5F54"/>
    <w:rsid w:val="002D6822"/>
    <w:rsid w:val="002D6A6E"/>
    <w:rsid w:val="002D77A0"/>
    <w:rsid w:val="002E0263"/>
    <w:rsid w:val="002E0E9C"/>
    <w:rsid w:val="002E1D77"/>
    <w:rsid w:val="002E1F01"/>
    <w:rsid w:val="002E3228"/>
    <w:rsid w:val="002E39C6"/>
    <w:rsid w:val="002E5C46"/>
    <w:rsid w:val="002E649F"/>
    <w:rsid w:val="002E6DD8"/>
    <w:rsid w:val="002E71AE"/>
    <w:rsid w:val="002F0EC1"/>
    <w:rsid w:val="002F14D3"/>
    <w:rsid w:val="002F2CAB"/>
    <w:rsid w:val="002F3231"/>
    <w:rsid w:val="003004E3"/>
    <w:rsid w:val="00300527"/>
    <w:rsid w:val="00300EA7"/>
    <w:rsid w:val="00302243"/>
    <w:rsid w:val="003032D1"/>
    <w:rsid w:val="00303495"/>
    <w:rsid w:val="0030505A"/>
    <w:rsid w:val="003069F8"/>
    <w:rsid w:val="003119A6"/>
    <w:rsid w:val="0031207F"/>
    <w:rsid w:val="003139D3"/>
    <w:rsid w:val="003143B3"/>
    <w:rsid w:val="00314BDE"/>
    <w:rsid w:val="003160B3"/>
    <w:rsid w:val="003168CF"/>
    <w:rsid w:val="00317D79"/>
    <w:rsid w:val="003206CA"/>
    <w:rsid w:val="00320E08"/>
    <w:rsid w:val="00321C7E"/>
    <w:rsid w:val="00323127"/>
    <w:rsid w:val="00323962"/>
    <w:rsid w:val="0032428F"/>
    <w:rsid w:val="00324437"/>
    <w:rsid w:val="0032464D"/>
    <w:rsid w:val="00325780"/>
    <w:rsid w:val="00325851"/>
    <w:rsid w:val="00325A55"/>
    <w:rsid w:val="003262FA"/>
    <w:rsid w:val="00326FFB"/>
    <w:rsid w:val="00327D19"/>
    <w:rsid w:val="0033155A"/>
    <w:rsid w:val="00333FE4"/>
    <w:rsid w:val="00334531"/>
    <w:rsid w:val="00335156"/>
    <w:rsid w:val="00337C42"/>
    <w:rsid w:val="00340700"/>
    <w:rsid w:val="0034093F"/>
    <w:rsid w:val="00340B77"/>
    <w:rsid w:val="003421E6"/>
    <w:rsid w:val="00344524"/>
    <w:rsid w:val="00344DF7"/>
    <w:rsid w:val="00346ECA"/>
    <w:rsid w:val="00352200"/>
    <w:rsid w:val="0035297E"/>
    <w:rsid w:val="0035426A"/>
    <w:rsid w:val="003550DF"/>
    <w:rsid w:val="00355E55"/>
    <w:rsid w:val="0035630C"/>
    <w:rsid w:val="003608F3"/>
    <w:rsid w:val="003612CF"/>
    <w:rsid w:val="0036135B"/>
    <w:rsid w:val="00363444"/>
    <w:rsid w:val="00363A30"/>
    <w:rsid w:val="003649D5"/>
    <w:rsid w:val="00364BDC"/>
    <w:rsid w:val="00364E1B"/>
    <w:rsid w:val="00364FEE"/>
    <w:rsid w:val="003658AE"/>
    <w:rsid w:val="003667A4"/>
    <w:rsid w:val="00367D1C"/>
    <w:rsid w:val="00367EA7"/>
    <w:rsid w:val="00370041"/>
    <w:rsid w:val="00370148"/>
    <w:rsid w:val="00371C01"/>
    <w:rsid w:val="00371E43"/>
    <w:rsid w:val="00372FBD"/>
    <w:rsid w:val="0037342E"/>
    <w:rsid w:val="00373BD8"/>
    <w:rsid w:val="00374557"/>
    <w:rsid w:val="00374FBB"/>
    <w:rsid w:val="003750D5"/>
    <w:rsid w:val="0037523C"/>
    <w:rsid w:val="003770C4"/>
    <w:rsid w:val="00382943"/>
    <w:rsid w:val="0038393A"/>
    <w:rsid w:val="0038521A"/>
    <w:rsid w:val="003856DD"/>
    <w:rsid w:val="00386ED6"/>
    <w:rsid w:val="00391909"/>
    <w:rsid w:val="00393E1E"/>
    <w:rsid w:val="003941C3"/>
    <w:rsid w:val="003948AC"/>
    <w:rsid w:val="00395ECE"/>
    <w:rsid w:val="00396398"/>
    <w:rsid w:val="00397368"/>
    <w:rsid w:val="003A08CF"/>
    <w:rsid w:val="003A26E5"/>
    <w:rsid w:val="003A3A91"/>
    <w:rsid w:val="003A465C"/>
    <w:rsid w:val="003A488B"/>
    <w:rsid w:val="003A4E20"/>
    <w:rsid w:val="003A52D6"/>
    <w:rsid w:val="003A5E5A"/>
    <w:rsid w:val="003A5F2E"/>
    <w:rsid w:val="003A7A2A"/>
    <w:rsid w:val="003B2198"/>
    <w:rsid w:val="003B220A"/>
    <w:rsid w:val="003B2293"/>
    <w:rsid w:val="003B26E5"/>
    <w:rsid w:val="003B4BEC"/>
    <w:rsid w:val="003B58AD"/>
    <w:rsid w:val="003B5941"/>
    <w:rsid w:val="003B5F42"/>
    <w:rsid w:val="003C0151"/>
    <w:rsid w:val="003C0361"/>
    <w:rsid w:val="003C2073"/>
    <w:rsid w:val="003C33D9"/>
    <w:rsid w:val="003C3DA6"/>
    <w:rsid w:val="003C5B7C"/>
    <w:rsid w:val="003C68A4"/>
    <w:rsid w:val="003D094D"/>
    <w:rsid w:val="003D0C27"/>
    <w:rsid w:val="003D0EB3"/>
    <w:rsid w:val="003D1751"/>
    <w:rsid w:val="003D20BF"/>
    <w:rsid w:val="003D2408"/>
    <w:rsid w:val="003D2BAE"/>
    <w:rsid w:val="003D3481"/>
    <w:rsid w:val="003D54C8"/>
    <w:rsid w:val="003D7249"/>
    <w:rsid w:val="003E089E"/>
    <w:rsid w:val="003E0B52"/>
    <w:rsid w:val="003E0B71"/>
    <w:rsid w:val="003E0CEE"/>
    <w:rsid w:val="003E28AA"/>
    <w:rsid w:val="003E29D8"/>
    <w:rsid w:val="003E2F9E"/>
    <w:rsid w:val="003E3547"/>
    <w:rsid w:val="003E36B3"/>
    <w:rsid w:val="003E47E6"/>
    <w:rsid w:val="003E4C97"/>
    <w:rsid w:val="003E697B"/>
    <w:rsid w:val="003F08D7"/>
    <w:rsid w:val="003F1383"/>
    <w:rsid w:val="003F15CE"/>
    <w:rsid w:val="003F2680"/>
    <w:rsid w:val="003F2B24"/>
    <w:rsid w:val="003F2BEB"/>
    <w:rsid w:val="003F3D94"/>
    <w:rsid w:val="003F455D"/>
    <w:rsid w:val="003F51D0"/>
    <w:rsid w:val="003F68F2"/>
    <w:rsid w:val="003F73FD"/>
    <w:rsid w:val="003F78E2"/>
    <w:rsid w:val="0040121C"/>
    <w:rsid w:val="0040133B"/>
    <w:rsid w:val="00401806"/>
    <w:rsid w:val="0040443D"/>
    <w:rsid w:val="0040458A"/>
    <w:rsid w:val="00404E38"/>
    <w:rsid w:val="00404F77"/>
    <w:rsid w:val="00405177"/>
    <w:rsid w:val="00406A0A"/>
    <w:rsid w:val="00407545"/>
    <w:rsid w:val="00407E41"/>
    <w:rsid w:val="00410047"/>
    <w:rsid w:val="00411979"/>
    <w:rsid w:val="00413401"/>
    <w:rsid w:val="00413FEA"/>
    <w:rsid w:val="00414EE3"/>
    <w:rsid w:val="0041552B"/>
    <w:rsid w:val="0041574E"/>
    <w:rsid w:val="004163C8"/>
    <w:rsid w:val="004173F2"/>
    <w:rsid w:val="004200AB"/>
    <w:rsid w:val="00420389"/>
    <w:rsid w:val="00420578"/>
    <w:rsid w:val="00420D53"/>
    <w:rsid w:val="00420E13"/>
    <w:rsid w:val="0042150C"/>
    <w:rsid w:val="00421B0E"/>
    <w:rsid w:val="0042333F"/>
    <w:rsid w:val="00423D68"/>
    <w:rsid w:val="004246E5"/>
    <w:rsid w:val="00425960"/>
    <w:rsid w:val="004261FA"/>
    <w:rsid w:val="0042694A"/>
    <w:rsid w:val="00426DF5"/>
    <w:rsid w:val="004279E8"/>
    <w:rsid w:val="00430B5F"/>
    <w:rsid w:val="00430F3C"/>
    <w:rsid w:val="00430F79"/>
    <w:rsid w:val="0043291E"/>
    <w:rsid w:val="00433AB9"/>
    <w:rsid w:val="00434A31"/>
    <w:rsid w:val="00435788"/>
    <w:rsid w:val="00435D04"/>
    <w:rsid w:val="00435EC8"/>
    <w:rsid w:val="0043676C"/>
    <w:rsid w:val="00437ADC"/>
    <w:rsid w:val="004413AB"/>
    <w:rsid w:val="004414ED"/>
    <w:rsid w:val="004418D1"/>
    <w:rsid w:val="00441C6C"/>
    <w:rsid w:val="00442D25"/>
    <w:rsid w:val="00442FDF"/>
    <w:rsid w:val="0044484B"/>
    <w:rsid w:val="0044589E"/>
    <w:rsid w:val="00446D09"/>
    <w:rsid w:val="00447CF5"/>
    <w:rsid w:val="00451D47"/>
    <w:rsid w:val="0045237A"/>
    <w:rsid w:val="00455D30"/>
    <w:rsid w:val="00460EF3"/>
    <w:rsid w:val="0046134A"/>
    <w:rsid w:val="004626C7"/>
    <w:rsid w:val="00462795"/>
    <w:rsid w:val="00463C1B"/>
    <w:rsid w:val="00463D42"/>
    <w:rsid w:val="00463ECD"/>
    <w:rsid w:val="004646A3"/>
    <w:rsid w:val="00464AFA"/>
    <w:rsid w:val="00464B65"/>
    <w:rsid w:val="00466A4A"/>
    <w:rsid w:val="00467532"/>
    <w:rsid w:val="00467654"/>
    <w:rsid w:val="00470B6F"/>
    <w:rsid w:val="00471B29"/>
    <w:rsid w:val="00472833"/>
    <w:rsid w:val="0047396F"/>
    <w:rsid w:val="00473A95"/>
    <w:rsid w:val="004742D5"/>
    <w:rsid w:val="004755EF"/>
    <w:rsid w:val="00475D21"/>
    <w:rsid w:val="004778D4"/>
    <w:rsid w:val="00477BD0"/>
    <w:rsid w:val="00477EE3"/>
    <w:rsid w:val="004808F8"/>
    <w:rsid w:val="004823DA"/>
    <w:rsid w:val="00482AB1"/>
    <w:rsid w:val="00483353"/>
    <w:rsid w:val="00484236"/>
    <w:rsid w:val="0048434E"/>
    <w:rsid w:val="0048460D"/>
    <w:rsid w:val="00484D62"/>
    <w:rsid w:val="00485ED8"/>
    <w:rsid w:val="004861E8"/>
    <w:rsid w:val="004864C2"/>
    <w:rsid w:val="00486B05"/>
    <w:rsid w:val="00487C16"/>
    <w:rsid w:val="0049000C"/>
    <w:rsid w:val="0049144F"/>
    <w:rsid w:val="0049273D"/>
    <w:rsid w:val="00494B93"/>
    <w:rsid w:val="004A1085"/>
    <w:rsid w:val="004A2175"/>
    <w:rsid w:val="004A2D7A"/>
    <w:rsid w:val="004A314C"/>
    <w:rsid w:val="004A4344"/>
    <w:rsid w:val="004A52B8"/>
    <w:rsid w:val="004A5400"/>
    <w:rsid w:val="004A6F7F"/>
    <w:rsid w:val="004B0977"/>
    <w:rsid w:val="004B14E1"/>
    <w:rsid w:val="004B37CD"/>
    <w:rsid w:val="004B3C80"/>
    <w:rsid w:val="004B3D06"/>
    <w:rsid w:val="004B4918"/>
    <w:rsid w:val="004B5600"/>
    <w:rsid w:val="004B6250"/>
    <w:rsid w:val="004B677B"/>
    <w:rsid w:val="004B690E"/>
    <w:rsid w:val="004B6E60"/>
    <w:rsid w:val="004B7196"/>
    <w:rsid w:val="004B7198"/>
    <w:rsid w:val="004B7F61"/>
    <w:rsid w:val="004C05EE"/>
    <w:rsid w:val="004C0893"/>
    <w:rsid w:val="004C0D3F"/>
    <w:rsid w:val="004C0EAB"/>
    <w:rsid w:val="004C128B"/>
    <w:rsid w:val="004C32C0"/>
    <w:rsid w:val="004C3443"/>
    <w:rsid w:val="004C354A"/>
    <w:rsid w:val="004C374D"/>
    <w:rsid w:val="004C4BED"/>
    <w:rsid w:val="004C556B"/>
    <w:rsid w:val="004C5BFC"/>
    <w:rsid w:val="004D0579"/>
    <w:rsid w:val="004D0803"/>
    <w:rsid w:val="004D0A07"/>
    <w:rsid w:val="004D17C4"/>
    <w:rsid w:val="004D3685"/>
    <w:rsid w:val="004D590C"/>
    <w:rsid w:val="004D59B2"/>
    <w:rsid w:val="004D704C"/>
    <w:rsid w:val="004D76E0"/>
    <w:rsid w:val="004E110E"/>
    <w:rsid w:val="004E13DC"/>
    <w:rsid w:val="004E15B8"/>
    <w:rsid w:val="004E1C55"/>
    <w:rsid w:val="004E27FD"/>
    <w:rsid w:val="004E304A"/>
    <w:rsid w:val="004E3AEE"/>
    <w:rsid w:val="004E444C"/>
    <w:rsid w:val="004E47E8"/>
    <w:rsid w:val="004E6A6F"/>
    <w:rsid w:val="004E7A50"/>
    <w:rsid w:val="004F0F42"/>
    <w:rsid w:val="004F1E86"/>
    <w:rsid w:val="004F2A74"/>
    <w:rsid w:val="004F44E7"/>
    <w:rsid w:val="004F6292"/>
    <w:rsid w:val="004F77DF"/>
    <w:rsid w:val="004F7B28"/>
    <w:rsid w:val="00501B3C"/>
    <w:rsid w:val="0050498B"/>
    <w:rsid w:val="0050578A"/>
    <w:rsid w:val="00511460"/>
    <w:rsid w:val="00515DA4"/>
    <w:rsid w:val="00515F31"/>
    <w:rsid w:val="0051647D"/>
    <w:rsid w:val="00517BB6"/>
    <w:rsid w:val="00517EF6"/>
    <w:rsid w:val="00521509"/>
    <w:rsid w:val="0052155F"/>
    <w:rsid w:val="005224E2"/>
    <w:rsid w:val="00523038"/>
    <w:rsid w:val="00523144"/>
    <w:rsid w:val="00523493"/>
    <w:rsid w:val="0052367F"/>
    <w:rsid w:val="00523B40"/>
    <w:rsid w:val="00523E1D"/>
    <w:rsid w:val="00524DA1"/>
    <w:rsid w:val="00524EF2"/>
    <w:rsid w:val="00525A45"/>
    <w:rsid w:val="00526242"/>
    <w:rsid w:val="00526F80"/>
    <w:rsid w:val="00527ABD"/>
    <w:rsid w:val="005317CF"/>
    <w:rsid w:val="00531A91"/>
    <w:rsid w:val="00531DE7"/>
    <w:rsid w:val="0053302C"/>
    <w:rsid w:val="00534792"/>
    <w:rsid w:val="005359DB"/>
    <w:rsid w:val="005361F3"/>
    <w:rsid w:val="005371F9"/>
    <w:rsid w:val="0054196B"/>
    <w:rsid w:val="00541C3B"/>
    <w:rsid w:val="00542B72"/>
    <w:rsid w:val="00543DF1"/>
    <w:rsid w:val="005442EA"/>
    <w:rsid w:val="00544D22"/>
    <w:rsid w:val="005456B4"/>
    <w:rsid w:val="005461B3"/>
    <w:rsid w:val="00546733"/>
    <w:rsid w:val="00546A44"/>
    <w:rsid w:val="0054720F"/>
    <w:rsid w:val="0055033D"/>
    <w:rsid w:val="00550537"/>
    <w:rsid w:val="00553BC8"/>
    <w:rsid w:val="005546E0"/>
    <w:rsid w:val="00554836"/>
    <w:rsid w:val="00554995"/>
    <w:rsid w:val="00554B3E"/>
    <w:rsid w:val="00555834"/>
    <w:rsid w:val="00555E9D"/>
    <w:rsid w:val="00556CEA"/>
    <w:rsid w:val="005623D4"/>
    <w:rsid w:val="00563BD6"/>
    <w:rsid w:val="00564BFF"/>
    <w:rsid w:val="00565412"/>
    <w:rsid w:val="0056556B"/>
    <w:rsid w:val="00565996"/>
    <w:rsid w:val="00565CF7"/>
    <w:rsid w:val="00566810"/>
    <w:rsid w:val="00567C1D"/>
    <w:rsid w:val="005709C9"/>
    <w:rsid w:val="00570B99"/>
    <w:rsid w:val="00571BBA"/>
    <w:rsid w:val="00574ED9"/>
    <w:rsid w:val="0057736F"/>
    <w:rsid w:val="0057764B"/>
    <w:rsid w:val="005776ED"/>
    <w:rsid w:val="00577BD7"/>
    <w:rsid w:val="00580EFB"/>
    <w:rsid w:val="00582139"/>
    <w:rsid w:val="00582972"/>
    <w:rsid w:val="00583C35"/>
    <w:rsid w:val="0058473F"/>
    <w:rsid w:val="005862E8"/>
    <w:rsid w:val="00586AA1"/>
    <w:rsid w:val="00587116"/>
    <w:rsid w:val="00587E72"/>
    <w:rsid w:val="005902E3"/>
    <w:rsid w:val="00590D75"/>
    <w:rsid w:val="00591483"/>
    <w:rsid w:val="0059188E"/>
    <w:rsid w:val="00592061"/>
    <w:rsid w:val="00593C9F"/>
    <w:rsid w:val="0059458F"/>
    <w:rsid w:val="0059492B"/>
    <w:rsid w:val="00595415"/>
    <w:rsid w:val="00595880"/>
    <w:rsid w:val="005962F1"/>
    <w:rsid w:val="00596C25"/>
    <w:rsid w:val="0059763C"/>
    <w:rsid w:val="005976A8"/>
    <w:rsid w:val="0059795A"/>
    <w:rsid w:val="005A0156"/>
    <w:rsid w:val="005A066D"/>
    <w:rsid w:val="005A1366"/>
    <w:rsid w:val="005A181E"/>
    <w:rsid w:val="005A22FD"/>
    <w:rsid w:val="005A271E"/>
    <w:rsid w:val="005A2F56"/>
    <w:rsid w:val="005A384F"/>
    <w:rsid w:val="005A4323"/>
    <w:rsid w:val="005A4F1D"/>
    <w:rsid w:val="005A5451"/>
    <w:rsid w:val="005A5DF8"/>
    <w:rsid w:val="005A5EB8"/>
    <w:rsid w:val="005A6605"/>
    <w:rsid w:val="005B1B08"/>
    <w:rsid w:val="005B2CC4"/>
    <w:rsid w:val="005B3A1B"/>
    <w:rsid w:val="005B3E49"/>
    <w:rsid w:val="005B3F82"/>
    <w:rsid w:val="005B414B"/>
    <w:rsid w:val="005B41E8"/>
    <w:rsid w:val="005B57A8"/>
    <w:rsid w:val="005B6FC5"/>
    <w:rsid w:val="005B7BB7"/>
    <w:rsid w:val="005B7C09"/>
    <w:rsid w:val="005C13B0"/>
    <w:rsid w:val="005C1AA0"/>
    <w:rsid w:val="005C1CDA"/>
    <w:rsid w:val="005C250B"/>
    <w:rsid w:val="005C3A73"/>
    <w:rsid w:val="005C3C48"/>
    <w:rsid w:val="005C3C6B"/>
    <w:rsid w:val="005C4074"/>
    <w:rsid w:val="005C4317"/>
    <w:rsid w:val="005C4A8C"/>
    <w:rsid w:val="005C4E0F"/>
    <w:rsid w:val="005C5DCC"/>
    <w:rsid w:val="005C64B0"/>
    <w:rsid w:val="005C652E"/>
    <w:rsid w:val="005C6815"/>
    <w:rsid w:val="005C6EAD"/>
    <w:rsid w:val="005C7968"/>
    <w:rsid w:val="005D0742"/>
    <w:rsid w:val="005D0A0E"/>
    <w:rsid w:val="005D2DC0"/>
    <w:rsid w:val="005D320F"/>
    <w:rsid w:val="005D3230"/>
    <w:rsid w:val="005D64EA"/>
    <w:rsid w:val="005D7ED7"/>
    <w:rsid w:val="005E062B"/>
    <w:rsid w:val="005E0678"/>
    <w:rsid w:val="005E23CC"/>
    <w:rsid w:val="005E293B"/>
    <w:rsid w:val="005E3CB7"/>
    <w:rsid w:val="005E3FDB"/>
    <w:rsid w:val="005E53B2"/>
    <w:rsid w:val="005E6574"/>
    <w:rsid w:val="005E6F19"/>
    <w:rsid w:val="005E736D"/>
    <w:rsid w:val="005E7808"/>
    <w:rsid w:val="005E7B80"/>
    <w:rsid w:val="005E7DEB"/>
    <w:rsid w:val="005F0486"/>
    <w:rsid w:val="005F07CD"/>
    <w:rsid w:val="005F1144"/>
    <w:rsid w:val="005F1472"/>
    <w:rsid w:val="005F36B5"/>
    <w:rsid w:val="005F4F08"/>
    <w:rsid w:val="005F50B2"/>
    <w:rsid w:val="005F51BF"/>
    <w:rsid w:val="005F5CF7"/>
    <w:rsid w:val="005F5F29"/>
    <w:rsid w:val="00600042"/>
    <w:rsid w:val="00600C24"/>
    <w:rsid w:val="00600C7A"/>
    <w:rsid w:val="006018A5"/>
    <w:rsid w:val="00603C03"/>
    <w:rsid w:val="00605EDC"/>
    <w:rsid w:val="006060F2"/>
    <w:rsid w:val="00606292"/>
    <w:rsid w:val="00606DC4"/>
    <w:rsid w:val="00610306"/>
    <w:rsid w:val="00610597"/>
    <w:rsid w:val="00610672"/>
    <w:rsid w:val="00610E74"/>
    <w:rsid w:val="00610EDC"/>
    <w:rsid w:val="006112FA"/>
    <w:rsid w:val="00611DAB"/>
    <w:rsid w:val="006122F2"/>
    <w:rsid w:val="0061389F"/>
    <w:rsid w:val="0061460B"/>
    <w:rsid w:val="00614A6F"/>
    <w:rsid w:val="00615D72"/>
    <w:rsid w:val="00616D46"/>
    <w:rsid w:val="00616F16"/>
    <w:rsid w:val="00617C3E"/>
    <w:rsid w:val="0062065C"/>
    <w:rsid w:val="00621F4F"/>
    <w:rsid w:val="00623043"/>
    <w:rsid w:val="0062538E"/>
    <w:rsid w:val="00625D32"/>
    <w:rsid w:val="00625DCB"/>
    <w:rsid w:val="006276DB"/>
    <w:rsid w:val="00627869"/>
    <w:rsid w:val="00627B1A"/>
    <w:rsid w:val="00627D46"/>
    <w:rsid w:val="006306B6"/>
    <w:rsid w:val="00633817"/>
    <w:rsid w:val="00633818"/>
    <w:rsid w:val="00635BBD"/>
    <w:rsid w:val="00635E02"/>
    <w:rsid w:val="00636175"/>
    <w:rsid w:val="006364C9"/>
    <w:rsid w:val="00637423"/>
    <w:rsid w:val="00637B8B"/>
    <w:rsid w:val="0064163C"/>
    <w:rsid w:val="006416CF"/>
    <w:rsid w:val="00643A82"/>
    <w:rsid w:val="00643DA2"/>
    <w:rsid w:val="006446EE"/>
    <w:rsid w:val="00644A1B"/>
    <w:rsid w:val="006464A2"/>
    <w:rsid w:val="0064775A"/>
    <w:rsid w:val="00650589"/>
    <w:rsid w:val="00650BB7"/>
    <w:rsid w:val="00650FBE"/>
    <w:rsid w:val="00651358"/>
    <w:rsid w:val="00651CE9"/>
    <w:rsid w:val="00652439"/>
    <w:rsid w:val="00652D6C"/>
    <w:rsid w:val="006542BD"/>
    <w:rsid w:val="006555C9"/>
    <w:rsid w:val="006558D2"/>
    <w:rsid w:val="006577C0"/>
    <w:rsid w:val="00660483"/>
    <w:rsid w:val="0066171A"/>
    <w:rsid w:val="00663468"/>
    <w:rsid w:val="00663898"/>
    <w:rsid w:val="00663ABD"/>
    <w:rsid w:val="00665B28"/>
    <w:rsid w:val="00666398"/>
    <w:rsid w:val="006674A7"/>
    <w:rsid w:val="00670012"/>
    <w:rsid w:val="0067018B"/>
    <w:rsid w:val="0067245F"/>
    <w:rsid w:val="006729FA"/>
    <w:rsid w:val="00672C7A"/>
    <w:rsid w:val="00673133"/>
    <w:rsid w:val="006738CE"/>
    <w:rsid w:val="006743E8"/>
    <w:rsid w:val="006752DB"/>
    <w:rsid w:val="006757A8"/>
    <w:rsid w:val="00675BB3"/>
    <w:rsid w:val="006766A2"/>
    <w:rsid w:val="006773B3"/>
    <w:rsid w:val="00677931"/>
    <w:rsid w:val="00677C0E"/>
    <w:rsid w:val="00683CD0"/>
    <w:rsid w:val="00683DEA"/>
    <w:rsid w:val="00684471"/>
    <w:rsid w:val="00684BF2"/>
    <w:rsid w:val="00685CB1"/>
    <w:rsid w:val="0068677D"/>
    <w:rsid w:val="00686ED5"/>
    <w:rsid w:val="00687717"/>
    <w:rsid w:val="00687A87"/>
    <w:rsid w:val="0069054C"/>
    <w:rsid w:val="00691454"/>
    <w:rsid w:val="0069160B"/>
    <w:rsid w:val="00692E09"/>
    <w:rsid w:val="00693A22"/>
    <w:rsid w:val="006951EA"/>
    <w:rsid w:val="00696257"/>
    <w:rsid w:val="00696444"/>
    <w:rsid w:val="006971D1"/>
    <w:rsid w:val="006A0443"/>
    <w:rsid w:val="006A0A17"/>
    <w:rsid w:val="006A1085"/>
    <w:rsid w:val="006A3FAE"/>
    <w:rsid w:val="006A4C0B"/>
    <w:rsid w:val="006A51FB"/>
    <w:rsid w:val="006A5A89"/>
    <w:rsid w:val="006A610A"/>
    <w:rsid w:val="006A6DBA"/>
    <w:rsid w:val="006A6DCE"/>
    <w:rsid w:val="006A7680"/>
    <w:rsid w:val="006A7B0D"/>
    <w:rsid w:val="006B0485"/>
    <w:rsid w:val="006B0DD2"/>
    <w:rsid w:val="006B0E40"/>
    <w:rsid w:val="006B142E"/>
    <w:rsid w:val="006B1EBD"/>
    <w:rsid w:val="006B2A98"/>
    <w:rsid w:val="006B2C5F"/>
    <w:rsid w:val="006B2D34"/>
    <w:rsid w:val="006B3542"/>
    <w:rsid w:val="006B4356"/>
    <w:rsid w:val="006B4B8D"/>
    <w:rsid w:val="006B5C59"/>
    <w:rsid w:val="006B62F6"/>
    <w:rsid w:val="006B71F4"/>
    <w:rsid w:val="006B75C0"/>
    <w:rsid w:val="006B777E"/>
    <w:rsid w:val="006C00BC"/>
    <w:rsid w:val="006C0AE9"/>
    <w:rsid w:val="006C288E"/>
    <w:rsid w:val="006C57E9"/>
    <w:rsid w:val="006D1170"/>
    <w:rsid w:val="006D1F9C"/>
    <w:rsid w:val="006D228C"/>
    <w:rsid w:val="006D283A"/>
    <w:rsid w:val="006D3706"/>
    <w:rsid w:val="006D42E4"/>
    <w:rsid w:val="006D4317"/>
    <w:rsid w:val="006D4C8A"/>
    <w:rsid w:val="006D5434"/>
    <w:rsid w:val="006D5A3B"/>
    <w:rsid w:val="006D6447"/>
    <w:rsid w:val="006D7347"/>
    <w:rsid w:val="006E1852"/>
    <w:rsid w:val="006E1C5C"/>
    <w:rsid w:val="006E28C9"/>
    <w:rsid w:val="006E3B4A"/>
    <w:rsid w:val="006E41A7"/>
    <w:rsid w:val="006E483D"/>
    <w:rsid w:val="006E521F"/>
    <w:rsid w:val="006E62A6"/>
    <w:rsid w:val="006E6978"/>
    <w:rsid w:val="006E724E"/>
    <w:rsid w:val="006F0585"/>
    <w:rsid w:val="006F15D5"/>
    <w:rsid w:val="006F44F4"/>
    <w:rsid w:val="006F450E"/>
    <w:rsid w:val="006F52FF"/>
    <w:rsid w:val="006F750C"/>
    <w:rsid w:val="00700843"/>
    <w:rsid w:val="0070113D"/>
    <w:rsid w:val="00703660"/>
    <w:rsid w:val="007042D8"/>
    <w:rsid w:val="00704468"/>
    <w:rsid w:val="00704732"/>
    <w:rsid w:val="007051BF"/>
    <w:rsid w:val="0070550C"/>
    <w:rsid w:val="007060F9"/>
    <w:rsid w:val="00706667"/>
    <w:rsid w:val="00706A11"/>
    <w:rsid w:val="00707639"/>
    <w:rsid w:val="00707B8E"/>
    <w:rsid w:val="007105FD"/>
    <w:rsid w:val="007117D3"/>
    <w:rsid w:val="007143F1"/>
    <w:rsid w:val="007148C1"/>
    <w:rsid w:val="00717C80"/>
    <w:rsid w:val="00720D6B"/>
    <w:rsid w:val="0072106D"/>
    <w:rsid w:val="00721977"/>
    <w:rsid w:val="00721F4C"/>
    <w:rsid w:val="00723770"/>
    <w:rsid w:val="007245D7"/>
    <w:rsid w:val="007248FD"/>
    <w:rsid w:val="00724BC6"/>
    <w:rsid w:val="00724E25"/>
    <w:rsid w:val="007250E0"/>
    <w:rsid w:val="00725F3F"/>
    <w:rsid w:val="00730619"/>
    <w:rsid w:val="00730E37"/>
    <w:rsid w:val="00730E49"/>
    <w:rsid w:val="0073285A"/>
    <w:rsid w:val="00732F82"/>
    <w:rsid w:val="00734588"/>
    <w:rsid w:val="00734B99"/>
    <w:rsid w:val="00734D39"/>
    <w:rsid w:val="007363FA"/>
    <w:rsid w:val="00736DC9"/>
    <w:rsid w:val="00737F9C"/>
    <w:rsid w:val="00742E8A"/>
    <w:rsid w:val="00744930"/>
    <w:rsid w:val="00746A15"/>
    <w:rsid w:val="00747277"/>
    <w:rsid w:val="00750B8D"/>
    <w:rsid w:val="00751D1B"/>
    <w:rsid w:val="0075297D"/>
    <w:rsid w:val="00753665"/>
    <w:rsid w:val="00754AB4"/>
    <w:rsid w:val="00755050"/>
    <w:rsid w:val="00756212"/>
    <w:rsid w:val="00756948"/>
    <w:rsid w:val="00757361"/>
    <w:rsid w:val="00757CFA"/>
    <w:rsid w:val="00757E2B"/>
    <w:rsid w:val="00762049"/>
    <w:rsid w:val="00762D19"/>
    <w:rsid w:val="00762DD6"/>
    <w:rsid w:val="007643B4"/>
    <w:rsid w:val="0076660A"/>
    <w:rsid w:val="007676D2"/>
    <w:rsid w:val="00767722"/>
    <w:rsid w:val="00767E31"/>
    <w:rsid w:val="00767E87"/>
    <w:rsid w:val="00771349"/>
    <w:rsid w:val="0077296E"/>
    <w:rsid w:val="00772C7F"/>
    <w:rsid w:val="007741C9"/>
    <w:rsid w:val="00774CA7"/>
    <w:rsid w:val="00776856"/>
    <w:rsid w:val="007802EA"/>
    <w:rsid w:val="00780496"/>
    <w:rsid w:val="007807A7"/>
    <w:rsid w:val="00781358"/>
    <w:rsid w:val="0078464B"/>
    <w:rsid w:val="00785BDF"/>
    <w:rsid w:val="007861DE"/>
    <w:rsid w:val="007937E3"/>
    <w:rsid w:val="00793FE9"/>
    <w:rsid w:val="0079413D"/>
    <w:rsid w:val="00794A41"/>
    <w:rsid w:val="00794E4E"/>
    <w:rsid w:val="00795737"/>
    <w:rsid w:val="007962D3"/>
    <w:rsid w:val="00797045"/>
    <w:rsid w:val="007A02E2"/>
    <w:rsid w:val="007A1581"/>
    <w:rsid w:val="007A30E4"/>
    <w:rsid w:val="007A485B"/>
    <w:rsid w:val="007A5899"/>
    <w:rsid w:val="007A61F3"/>
    <w:rsid w:val="007A704F"/>
    <w:rsid w:val="007B004D"/>
    <w:rsid w:val="007B0827"/>
    <w:rsid w:val="007B1035"/>
    <w:rsid w:val="007B1166"/>
    <w:rsid w:val="007B1189"/>
    <w:rsid w:val="007B12C6"/>
    <w:rsid w:val="007B1CBE"/>
    <w:rsid w:val="007B2CF9"/>
    <w:rsid w:val="007B2E21"/>
    <w:rsid w:val="007B2F5E"/>
    <w:rsid w:val="007B386C"/>
    <w:rsid w:val="007B3CB7"/>
    <w:rsid w:val="007B42F1"/>
    <w:rsid w:val="007B440D"/>
    <w:rsid w:val="007B541D"/>
    <w:rsid w:val="007B5F4E"/>
    <w:rsid w:val="007B7418"/>
    <w:rsid w:val="007C080D"/>
    <w:rsid w:val="007C12FF"/>
    <w:rsid w:val="007C1C1C"/>
    <w:rsid w:val="007C1DA0"/>
    <w:rsid w:val="007C2CFD"/>
    <w:rsid w:val="007C31AC"/>
    <w:rsid w:val="007C3218"/>
    <w:rsid w:val="007C7F8F"/>
    <w:rsid w:val="007D126A"/>
    <w:rsid w:val="007D16ED"/>
    <w:rsid w:val="007D2471"/>
    <w:rsid w:val="007D27BF"/>
    <w:rsid w:val="007D2BD9"/>
    <w:rsid w:val="007D48FF"/>
    <w:rsid w:val="007D4919"/>
    <w:rsid w:val="007D4C9D"/>
    <w:rsid w:val="007D5904"/>
    <w:rsid w:val="007D7A53"/>
    <w:rsid w:val="007D7D48"/>
    <w:rsid w:val="007E0D77"/>
    <w:rsid w:val="007E2995"/>
    <w:rsid w:val="007E2EE4"/>
    <w:rsid w:val="007E334E"/>
    <w:rsid w:val="007E3423"/>
    <w:rsid w:val="007E3E10"/>
    <w:rsid w:val="007E48C1"/>
    <w:rsid w:val="007E4B9A"/>
    <w:rsid w:val="007E4FA8"/>
    <w:rsid w:val="007E5A64"/>
    <w:rsid w:val="007E6784"/>
    <w:rsid w:val="007E6AE9"/>
    <w:rsid w:val="007F0835"/>
    <w:rsid w:val="007F0BDC"/>
    <w:rsid w:val="007F12C7"/>
    <w:rsid w:val="007F139B"/>
    <w:rsid w:val="007F1749"/>
    <w:rsid w:val="007F3279"/>
    <w:rsid w:val="007F405F"/>
    <w:rsid w:val="007F46A2"/>
    <w:rsid w:val="007F574F"/>
    <w:rsid w:val="007F698B"/>
    <w:rsid w:val="00800133"/>
    <w:rsid w:val="00803504"/>
    <w:rsid w:val="0080505C"/>
    <w:rsid w:val="00805427"/>
    <w:rsid w:val="008062A5"/>
    <w:rsid w:val="00806F88"/>
    <w:rsid w:val="008070AB"/>
    <w:rsid w:val="00807354"/>
    <w:rsid w:val="00807BE4"/>
    <w:rsid w:val="00810A51"/>
    <w:rsid w:val="00810F3B"/>
    <w:rsid w:val="0081139A"/>
    <w:rsid w:val="00812322"/>
    <w:rsid w:val="008129E5"/>
    <w:rsid w:val="00813567"/>
    <w:rsid w:val="00813C14"/>
    <w:rsid w:val="00814DAA"/>
    <w:rsid w:val="00815700"/>
    <w:rsid w:val="00816EAE"/>
    <w:rsid w:val="0082089F"/>
    <w:rsid w:val="00820B1D"/>
    <w:rsid w:val="008215A7"/>
    <w:rsid w:val="00821924"/>
    <w:rsid w:val="00821E7C"/>
    <w:rsid w:val="008229F0"/>
    <w:rsid w:val="00822D56"/>
    <w:rsid w:val="00823CD3"/>
    <w:rsid w:val="008277B4"/>
    <w:rsid w:val="0083029A"/>
    <w:rsid w:val="00830B23"/>
    <w:rsid w:val="0083192F"/>
    <w:rsid w:val="00832B21"/>
    <w:rsid w:val="008338DB"/>
    <w:rsid w:val="00833D7A"/>
    <w:rsid w:val="0083416A"/>
    <w:rsid w:val="008342B4"/>
    <w:rsid w:val="00835549"/>
    <w:rsid w:val="00835B01"/>
    <w:rsid w:val="008377F4"/>
    <w:rsid w:val="00841A53"/>
    <w:rsid w:val="00841F00"/>
    <w:rsid w:val="008420C1"/>
    <w:rsid w:val="00843F05"/>
    <w:rsid w:val="00844E41"/>
    <w:rsid w:val="0084539B"/>
    <w:rsid w:val="0084551E"/>
    <w:rsid w:val="008469D0"/>
    <w:rsid w:val="00846A02"/>
    <w:rsid w:val="008504C9"/>
    <w:rsid w:val="00850804"/>
    <w:rsid w:val="00850B5B"/>
    <w:rsid w:val="00851759"/>
    <w:rsid w:val="00852B4D"/>
    <w:rsid w:val="00853728"/>
    <w:rsid w:val="008545ED"/>
    <w:rsid w:val="00856AF4"/>
    <w:rsid w:val="00856EA9"/>
    <w:rsid w:val="00856F6A"/>
    <w:rsid w:val="00857200"/>
    <w:rsid w:val="00857403"/>
    <w:rsid w:val="00857566"/>
    <w:rsid w:val="00860858"/>
    <w:rsid w:val="00861144"/>
    <w:rsid w:val="00861896"/>
    <w:rsid w:val="00862C96"/>
    <w:rsid w:val="0086330C"/>
    <w:rsid w:val="00864AD3"/>
    <w:rsid w:val="00865D8D"/>
    <w:rsid w:val="0086697A"/>
    <w:rsid w:val="0087016E"/>
    <w:rsid w:val="008727EA"/>
    <w:rsid w:val="0087286D"/>
    <w:rsid w:val="00873876"/>
    <w:rsid w:val="00873C59"/>
    <w:rsid w:val="00875559"/>
    <w:rsid w:val="00875D47"/>
    <w:rsid w:val="00876F61"/>
    <w:rsid w:val="00877278"/>
    <w:rsid w:val="0087772E"/>
    <w:rsid w:val="00881335"/>
    <w:rsid w:val="008814B5"/>
    <w:rsid w:val="00883EF3"/>
    <w:rsid w:val="0088469C"/>
    <w:rsid w:val="00884EA3"/>
    <w:rsid w:val="008858FB"/>
    <w:rsid w:val="0088592E"/>
    <w:rsid w:val="00887C1B"/>
    <w:rsid w:val="00890403"/>
    <w:rsid w:val="00890E94"/>
    <w:rsid w:val="00890EFC"/>
    <w:rsid w:val="00891683"/>
    <w:rsid w:val="00892487"/>
    <w:rsid w:val="008924F2"/>
    <w:rsid w:val="008944D7"/>
    <w:rsid w:val="00896751"/>
    <w:rsid w:val="00897E01"/>
    <w:rsid w:val="00897F85"/>
    <w:rsid w:val="008A0A22"/>
    <w:rsid w:val="008A1B62"/>
    <w:rsid w:val="008A44C1"/>
    <w:rsid w:val="008A5321"/>
    <w:rsid w:val="008A5882"/>
    <w:rsid w:val="008A722E"/>
    <w:rsid w:val="008A72D1"/>
    <w:rsid w:val="008A7F46"/>
    <w:rsid w:val="008B02C2"/>
    <w:rsid w:val="008B1A34"/>
    <w:rsid w:val="008B1F05"/>
    <w:rsid w:val="008B39D2"/>
    <w:rsid w:val="008B41DB"/>
    <w:rsid w:val="008B51E6"/>
    <w:rsid w:val="008B5269"/>
    <w:rsid w:val="008B640F"/>
    <w:rsid w:val="008B652C"/>
    <w:rsid w:val="008B74BA"/>
    <w:rsid w:val="008B7825"/>
    <w:rsid w:val="008C0137"/>
    <w:rsid w:val="008C2492"/>
    <w:rsid w:val="008C24BD"/>
    <w:rsid w:val="008C3439"/>
    <w:rsid w:val="008C34BB"/>
    <w:rsid w:val="008C3936"/>
    <w:rsid w:val="008C5113"/>
    <w:rsid w:val="008C52C0"/>
    <w:rsid w:val="008C777B"/>
    <w:rsid w:val="008C7B84"/>
    <w:rsid w:val="008C7C7E"/>
    <w:rsid w:val="008D1992"/>
    <w:rsid w:val="008D1B73"/>
    <w:rsid w:val="008D295B"/>
    <w:rsid w:val="008D30E2"/>
    <w:rsid w:val="008D33CF"/>
    <w:rsid w:val="008D3B62"/>
    <w:rsid w:val="008D4B6D"/>
    <w:rsid w:val="008D51C8"/>
    <w:rsid w:val="008D645C"/>
    <w:rsid w:val="008D7B96"/>
    <w:rsid w:val="008D7F71"/>
    <w:rsid w:val="008E0D48"/>
    <w:rsid w:val="008E21D7"/>
    <w:rsid w:val="008E249D"/>
    <w:rsid w:val="008E31C6"/>
    <w:rsid w:val="008E3711"/>
    <w:rsid w:val="008E3F0E"/>
    <w:rsid w:val="008E4570"/>
    <w:rsid w:val="008E4FFB"/>
    <w:rsid w:val="008E5C5A"/>
    <w:rsid w:val="008F16B2"/>
    <w:rsid w:val="008F209C"/>
    <w:rsid w:val="008F33A0"/>
    <w:rsid w:val="008F37C7"/>
    <w:rsid w:val="008F54DA"/>
    <w:rsid w:val="008F5C1B"/>
    <w:rsid w:val="008F5C6A"/>
    <w:rsid w:val="008F75BF"/>
    <w:rsid w:val="009003F7"/>
    <w:rsid w:val="00900CDB"/>
    <w:rsid w:val="00901210"/>
    <w:rsid w:val="009045AE"/>
    <w:rsid w:val="00904777"/>
    <w:rsid w:val="00905C31"/>
    <w:rsid w:val="00907063"/>
    <w:rsid w:val="00907114"/>
    <w:rsid w:val="00907590"/>
    <w:rsid w:val="00910103"/>
    <w:rsid w:val="00910DB0"/>
    <w:rsid w:val="00911DF7"/>
    <w:rsid w:val="00911E22"/>
    <w:rsid w:val="0091382F"/>
    <w:rsid w:val="0091558C"/>
    <w:rsid w:val="00917620"/>
    <w:rsid w:val="00917E23"/>
    <w:rsid w:val="00920DAA"/>
    <w:rsid w:val="009215A6"/>
    <w:rsid w:val="00922E25"/>
    <w:rsid w:val="0092387E"/>
    <w:rsid w:val="00923A1B"/>
    <w:rsid w:val="00923AF3"/>
    <w:rsid w:val="00924F38"/>
    <w:rsid w:val="0092630F"/>
    <w:rsid w:val="00926520"/>
    <w:rsid w:val="00926F8C"/>
    <w:rsid w:val="00927C27"/>
    <w:rsid w:val="009308E4"/>
    <w:rsid w:val="009317C6"/>
    <w:rsid w:val="00932369"/>
    <w:rsid w:val="009323C1"/>
    <w:rsid w:val="00932A69"/>
    <w:rsid w:val="00934344"/>
    <w:rsid w:val="00935167"/>
    <w:rsid w:val="00940E2E"/>
    <w:rsid w:val="009416B4"/>
    <w:rsid w:val="009423D4"/>
    <w:rsid w:val="00944956"/>
    <w:rsid w:val="00945F74"/>
    <w:rsid w:val="00946C0B"/>
    <w:rsid w:val="009475A3"/>
    <w:rsid w:val="00947A56"/>
    <w:rsid w:val="0095014D"/>
    <w:rsid w:val="00955403"/>
    <w:rsid w:val="00955714"/>
    <w:rsid w:val="00955E04"/>
    <w:rsid w:val="00956034"/>
    <w:rsid w:val="00956E36"/>
    <w:rsid w:val="0095711B"/>
    <w:rsid w:val="00960634"/>
    <w:rsid w:val="009613C5"/>
    <w:rsid w:val="00961BA6"/>
    <w:rsid w:val="00961C9B"/>
    <w:rsid w:val="0096227C"/>
    <w:rsid w:val="00964563"/>
    <w:rsid w:val="00965F26"/>
    <w:rsid w:val="00966916"/>
    <w:rsid w:val="009673C9"/>
    <w:rsid w:val="00967B11"/>
    <w:rsid w:val="0097039F"/>
    <w:rsid w:val="00970A09"/>
    <w:rsid w:val="0097229E"/>
    <w:rsid w:val="0097240D"/>
    <w:rsid w:val="009739B0"/>
    <w:rsid w:val="009739D1"/>
    <w:rsid w:val="0097432C"/>
    <w:rsid w:val="00974DBB"/>
    <w:rsid w:val="009751B8"/>
    <w:rsid w:val="0097547E"/>
    <w:rsid w:val="009764D5"/>
    <w:rsid w:val="0097689C"/>
    <w:rsid w:val="0097692D"/>
    <w:rsid w:val="00977D45"/>
    <w:rsid w:val="00980950"/>
    <w:rsid w:val="00981B5E"/>
    <w:rsid w:val="009857E0"/>
    <w:rsid w:val="0098630C"/>
    <w:rsid w:val="0098687C"/>
    <w:rsid w:val="00986EF7"/>
    <w:rsid w:val="00987B50"/>
    <w:rsid w:val="00990D50"/>
    <w:rsid w:val="00991C5F"/>
    <w:rsid w:val="009931A0"/>
    <w:rsid w:val="00993918"/>
    <w:rsid w:val="00994CA9"/>
    <w:rsid w:val="009958A4"/>
    <w:rsid w:val="00996C78"/>
    <w:rsid w:val="009970E4"/>
    <w:rsid w:val="0099715B"/>
    <w:rsid w:val="0099782D"/>
    <w:rsid w:val="00997FB0"/>
    <w:rsid w:val="009A031C"/>
    <w:rsid w:val="009A23AD"/>
    <w:rsid w:val="009A3C7F"/>
    <w:rsid w:val="009A4C6B"/>
    <w:rsid w:val="009A4E5A"/>
    <w:rsid w:val="009B0B43"/>
    <w:rsid w:val="009B1349"/>
    <w:rsid w:val="009B675D"/>
    <w:rsid w:val="009C0DB1"/>
    <w:rsid w:val="009C1F41"/>
    <w:rsid w:val="009C396C"/>
    <w:rsid w:val="009C46F7"/>
    <w:rsid w:val="009C47B9"/>
    <w:rsid w:val="009C4E77"/>
    <w:rsid w:val="009C7035"/>
    <w:rsid w:val="009C71DA"/>
    <w:rsid w:val="009C76A9"/>
    <w:rsid w:val="009D05B4"/>
    <w:rsid w:val="009D0A51"/>
    <w:rsid w:val="009D1594"/>
    <w:rsid w:val="009D17C3"/>
    <w:rsid w:val="009D23C0"/>
    <w:rsid w:val="009D3187"/>
    <w:rsid w:val="009D39BB"/>
    <w:rsid w:val="009D4B24"/>
    <w:rsid w:val="009D4E9D"/>
    <w:rsid w:val="009D61ED"/>
    <w:rsid w:val="009D647D"/>
    <w:rsid w:val="009D7974"/>
    <w:rsid w:val="009D7E99"/>
    <w:rsid w:val="009E0529"/>
    <w:rsid w:val="009E1189"/>
    <w:rsid w:val="009E163E"/>
    <w:rsid w:val="009E1EE3"/>
    <w:rsid w:val="009E247A"/>
    <w:rsid w:val="009E2B0C"/>
    <w:rsid w:val="009E3322"/>
    <w:rsid w:val="009E3A5D"/>
    <w:rsid w:val="009E3AFB"/>
    <w:rsid w:val="009E6099"/>
    <w:rsid w:val="009E6D19"/>
    <w:rsid w:val="009E788E"/>
    <w:rsid w:val="009F0183"/>
    <w:rsid w:val="009F0A8F"/>
    <w:rsid w:val="009F16FC"/>
    <w:rsid w:val="009F2560"/>
    <w:rsid w:val="009F2765"/>
    <w:rsid w:val="009F2A77"/>
    <w:rsid w:val="009F3566"/>
    <w:rsid w:val="009F41D7"/>
    <w:rsid w:val="009F429D"/>
    <w:rsid w:val="009F624E"/>
    <w:rsid w:val="009F68E3"/>
    <w:rsid w:val="009F78DA"/>
    <w:rsid w:val="00A01440"/>
    <w:rsid w:val="00A0155E"/>
    <w:rsid w:val="00A0286E"/>
    <w:rsid w:val="00A02F72"/>
    <w:rsid w:val="00A03514"/>
    <w:rsid w:val="00A0364D"/>
    <w:rsid w:val="00A03B0F"/>
    <w:rsid w:val="00A04A47"/>
    <w:rsid w:val="00A04BA4"/>
    <w:rsid w:val="00A07194"/>
    <w:rsid w:val="00A075DE"/>
    <w:rsid w:val="00A10CA3"/>
    <w:rsid w:val="00A10E8F"/>
    <w:rsid w:val="00A1226C"/>
    <w:rsid w:val="00A12470"/>
    <w:rsid w:val="00A12861"/>
    <w:rsid w:val="00A13FA2"/>
    <w:rsid w:val="00A14500"/>
    <w:rsid w:val="00A1559C"/>
    <w:rsid w:val="00A16EDE"/>
    <w:rsid w:val="00A1708A"/>
    <w:rsid w:val="00A1735F"/>
    <w:rsid w:val="00A228DA"/>
    <w:rsid w:val="00A244D7"/>
    <w:rsid w:val="00A25D47"/>
    <w:rsid w:val="00A2615A"/>
    <w:rsid w:val="00A30713"/>
    <w:rsid w:val="00A30C13"/>
    <w:rsid w:val="00A31548"/>
    <w:rsid w:val="00A317F0"/>
    <w:rsid w:val="00A31E06"/>
    <w:rsid w:val="00A32A6A"/>
    <w:rsid w:val="00A332FE"/>
    <w:rsid w:val="00A33685"/>
    <w:rsid w:val="00A34628"/>
    <w:rsid w:val="00A349F7"/>
    <w:rsid w:val="00A34EFC"/>
    <w:rsid w:val="00A35B0A"/>
    <w:rsid w:val="00A35D0F"/>
    <w:rsid w:val="00A3601C"/>
    <w:rsid w:val="00A373BE"/>
    <w:rsid w:val="00A379F5"/>
    <w:rsid w:val="00A37FA5"/>
    <w:rsid w:val="00A403E3"/>
    <w:rsid w:val="00A4057A"/>
    <w:rsid w:val="00A419BA"/>
    <w:rsid w:val="00A43644"/>
    <w:rsid w:val="00A437FD"/>
    <w:rsid w:val="00A43BEF"/>
    <w:rsid w:val="00A43CD3"/>
    <w:rsid w:val="00A4483B"/>
    <w:rsid w:val="00A44F35"/>
    <w:rsid w:val="00A4577C"/>
    <w:rsid w:val="00A45D08"/>
    <w:rsid w:val="00A4600A"/>
    <w:rsid w:val="00A46CEF"/>
    <w:rsid w:val="00A4776C"/>
    <w:rsid w:val="00A51735"/>
    <w:rsid w:val="00A51DAC"/>
    <w:rsid w:val="00A52138"/>
    <w:rsid w:val="00A52493"/>
    <w:rsid w:val="00A53093"/>
    <w:rsid w:val="00A5359B"/>
    <w:rsid w:val="00A537F1"/>
    <w:rsid w:val="00A547DF"/>
    <w:rsid w:val="00A54B27"/>
    <w:rsid w:val="00A56A2B"/>
    <w:rsid w:val="00A5795B"/>
    <w:rsid w:val="00A62DC2"/>
    <w:rsid w:val="00A636E5"/>
    <w:rsid w:val="00A65449"/>
    <w:rsid w:val="00A67D16"/>
    <w:rsid w:val="00A70A5B"/>
    <w:rsid w:val="00A71131"/>
    <w:rsid w:val="00A715C6"/>
    <w:rsid w:val="00A7365B"/>
    <w:rsid w:val="00A73C2B"/>
    <w:rsid w:val="00A73CFA"/>
    <w:rsid w:val="00A74124"/>
    <w:rsid w:val="00A7493A"/>
    <w:rsid w:val="00A74AED"/>
    <w:rsid w:val="00A74F81"/>
    <w:rsid w:val="00A75C66"/>
    <w:rsid w:val="00A803E4"/>
    <w:rsid w:val="00A81074"/>
    <w:rsid w:val="00A8175F"/>
    <w:rsid w:val="00A81B04"/>
    <w:rsid w:val="00A82FCE"/>
    <w:rsid w:val="00A836E1"/>
    <w:rsid w:val="00A84365"/>
    <w:rsid w:val="00A84856"/>
    <w:rsid w:val="00A84B52"/>
    <w:rsid w:val="00A84E92"/>
    <w:rsid w:val="00A85F2E"/>
    <w:rsid w:val="00A868D3"/>
    <w:rsid w:val="00A87903"/>
    <w:rsid w:val="00A92B06"/>
    <w:rsid w:val="00A93205"/>
    <w:rsid w:val="00A9360D"/>
    <w:rsid w:val="00A9379C"/>
    <w:rsid w:val="00A93B95"/>
    <w:rsid w:val="00A93CF2"/>
    <w:rsid w:val="00A9417C"/>
    <w:rsid w:val="00A957DE"/>
    <w:rsid w:val="00A95CED"/>
    <w:rsid w:val="00A968DC"/>
    <w:rsid w:val="00AA0274"/>
    <w:rsid w:val="00AA11C7"/>
    <w:rsid w:val="00AA1464"/>
    <w:rsid w:val="00AA1532"/>
    <w:rsid w:val="00AA17B7"/>
    <w:rsid w:val="00AA1EB0"/>
    <w:rsid w:val="00AA20CE"/>
    <w:rsid w:val="00AA234E"/>
    <w:rsid w:val="00AA244E"/>
    <w:rsid w:val="00AA40EB"/>
    <w:rsid w:val="00AA556F"/>
    <w:rsid w:val="00AA6758"/>
    <w:rsid w:val="00AA715E"/>
    <w:rsid w:val="00AB057D"/>
    <w:rsid w:val="00AB1F6E"/>
    <w:rsid w:val="00AB31C1"/>
    <w:rsid w:val="00AB326A"/>
    <w:rsid w:val="00AB35CD"/>
    <w:rsid w:val="00AB374C"/>
    <w:rsid w:val="00AB3C34"/>
    <w:rsid w:val="00AB3F96"/>
    <w:rsid w:val="00AB41F9"/>
    <w:rsid w:val="00AB477E"/>
    <w:rsid w:val="00AB686F"/>
    <w:rsid w:val="00AC1031"/>
    <w:rsid w:val="00AC15BB"/>
    <w:rsid w:val="00AC1986"/>
    <w:rsid w:val="00AC3027"/>
    <w:rsid w:val="00AC3D30"/>
    <w:rsid w:val="00AC5A54"/>
    <w:rsid w:val="00AD0AA5"/>
    <w:rsid w:val="00AD0F88"/>
    <w:rsid w:val="00AD1C2C"/>
    <w:rsid w:val="00AD4A3C"/>
    <w:rsid w:val="00AD4F8F"/>
    <w:rsid w:val="00AD57FE"/>
    <w:rsid w:val="00AD5FE6"/>
    <w:rsid w:val="00AD696C"/>
    <w:rsid w:val="00AD737B"/>
    <w:rsid w:val="00AD77CF"/>
    <w:rsid w:val="00AE1477"/>
    <w:rsid w:val="00AE1BC0"/>
    <w:rsid w:val="00AE34A9"/>
    <w:rsid w:val="00AE3D5E"/>
    <w:rsid w:val="00AE4449"/>
    <w:rsid w:val="00AE52D3"/>
    <w:rsid w:val="00AE52F0"/>
    <w:rsid w:val="00AE5A36"/>
    <w:rsid w:val="00AE6D7E"/>
    <w:rsid w:val="00AF07CB"/>
    <w:rsid w:val="00AF1303"/>
    <w:rsid w:val="00AF1784"/>
    <w:rsid w:val="00AF2789"/>
    <w:rsid w:val="00AF3138"/>
    <w:rsid w:val="00AF32CD"/>
    <w:rsid w:val="00AF4588"/>
    <w:rsid w:val="00AF4CAD"/>
    <w:rsid w:val="00AF53A7"/>
    <w:rsid w:val="00AF5544"/>
    <w:rsid w:val="00AF5F68"/>
    <w:rsid w:val="00AF68D4"/>
    <w:rsid w:val="00AF6CF8"/>
    <w:rsid w:val="00AF7F64"/>
    <w:rsid w:val="00B00D07"/>
    <w:rsid w:val="00B00E63"/>
    <w:rsid w:val="00B0182D"/>
    <w:rsid w:val="00B02650"/>
    <w:rsid w:val="00B02767"/>
    <w:rsid w:val="00B05124"/>
    <w:rsid w:val="00B05879"/>
    <w:rsid w:val="00B0686F"/>
    <w:rsid w:val="00B10628"/>
    <w:rsid w:val="00B117B1"/>
    <w:rsid w:val="00B135FC"/>
    <w:rsid w:val="00B13D04"/>
    <w:rsid w:val="00B13E28"/>
    <w:rsid w:val="00B142A0"/>
    <w:rsid w:val="00B1536C"/>
    <w:rsid w:val="00B15AEE"/>
    <w:rsid w:val="00B17F8C"/>
    <w:rsid w:val="00B17F98"/>
    <w:rsid w:val="00B21968"/>
    <w:rsid w:val="00B2215C"/>
    <w:rsid w:val="00B228CB"/>
    <w:rsid w:val="00B2300B"/>
    <w:rsid w:val="00B240D0"/>
    <w:rsid w:val="00B24872"/>
    <w:rsid w:val="00B24D14"/>
    <w:rsid w:val="00B24F31"/>
    <w:rsid w:val="00B25EB0"/>
    <w:rsid w:val="00B260B5"/>
    <w:rsid w:val="00B26177"/>
    <w:rsid w:val="00B27CD4"/>
    <w:rsid w:val="00B316EF"/>
    <w:rsid w:val="00B33499"/>
    <w:rsid w:val="00B33663"/>
    <w:rsid w:val="00B33D18"/>
    <w:rsid w:val="00B3479C"/>
    <w:rsid w:val="00B36D2F"/>
    <w:rsid w:val="00B37FBD"/>
    <w:rsid w:val="00B40637"/>
    <w:rsid w:val="00B40B75"/>
    <w:rsid w:val="00B41A9E"/>
    <w:rsid w:val="00B42D17"/>
    <w:rsid w:val="00B4374C"/>
    <w:rsid w:val="00B44184"/>
    <w:rsid w:val="00B446AF"/>
    <w:rsid w:val="00B44AFB"/>
    <w:rsid w:val="00B458EA"/>
    <w:rsid w:val="00B471A6"/>
    <w:rsid w:val="00B508BC"/>
    <w:rsid w:val="00B50A0A"/>
    <w:rsid w:val="00B52089"/>
    <w:rsid w:val="00B52934"/>
    <w:rsid w:val="00B52A71"/>
    <w:rsid w:val="00B5352A"/>
    <w:rsid w:val="00B53B2B"/>
    <w:rsid w:val="00B54158"/>
    <w:rsid w:val="00B54762"/>
    <w:rsid w:val="00B5567A"/>
    <w:rsid w:val="00B55A77"/>
    <w:rsid w:val="00B56A99"/>
    <w:rsid w:val="00B56E30"/>
    <w:rsid w:val="00B56F8E"/>
    <w:rsid w:val="00B57F66"/>
    <w:rsid w:val="00B6251D"/>
    <w:rsid w:val="00B628A3"/>
    <w:rsid w:val="00B63C9F"/>
    <w:rsid w:val="00B645A8"/>
    <w:rsid w:val="00B6463E"/>
    <w:rsid w:val="00B64F50"/>
    <w:rsid w:val="00B65007"/>
    <w:rsid w:val="00B654DD"/>
    <w:rsid w:val="00B655D6"/>
    <w:rsid w:val="00B658B3"/>
    <w:rsid w:val="00B65EE7"/>
    <w:rsid w:val="00B6780D"/>
    <w:rsid w:val="00B70501"/>
    <w:rsid w:val="00B70C21"/>
    <w:rsid w:val="00B710D7"/>
    <w:rsid w:val="00B711BC"/>
    <w:rsid w:val="00B712B8"/>
    <w:rsid w:val="00B71BE6"/>
    <w:rsid w:val="00B72328"/>
    <w:rsid w:val="00B7256C"/>
    <w:rsid w:val="00B725BD"/>
    <w:rsid w:val="00B73DBA"/>
    <w:rsid w:val="00B747A8"/>
    <w:rsid w:val="00B76BA0"/>
    <w:rsid w:val="00B77B33"/>
    <w:rsid w:val="00B77F54"/>
    <w:rsid w:val="00B80154"/>
    <w:rsid w:val="00B80CD7"/>
    <w:rsid w:val="00B82D26"/>
    <w:rsid w:val="00B838BD"/>
    <w:rsid w:val="00B83B26"/>
    <w:rsid w:val="00B845D7"/>
    <w:rsid w:val="00B84CC5"/>
    <w:rsid w:val="00B84D78"/>
    <w:rsid w:val="00B855F8"/>
    <w:rsid w:val="00B85716"/>
    <w:rsid w:val="00B85B25"/>
    <w:rsid w:val="00B86F81"/>
    <w:rsid w:val="00B90631"/>
    <w:rsid w:val="00B91E91"/>
    <w:rsid w:val="00B91EE2"/>
    <w:rsid w:val="00B923A4"/>
    <w:rsid w:val="00B93A58"/>
    <w:rsid w:val="00B94179"/>
    <w:rsid w:val="00B9463B"/>
    <w:rsid w:val="00B96160"/>
    <w:rsid w:val="00B96281"/>
    <w:rsid w:val="00B96D2B"/>
    <w:rsid w:val="00B970A6"/>
    <w:rsid w:val="00BA029B"/>
    <w:rsid w:val="00BA0B59"/>
    <w:rsid w:val="00BA0F29"/>
    <w:rsid w:val="00BA1C40"/>
    <w:rsid w:val="00BA1E34"/>
    <w:rsid w:val="00BA29EE"/>
    <w:rsid w:val="00BA2B7A"/>
    <w:rsid w:val="00BA2F81"/>
    <w:rsid w:val="00BA3A5F"/>
    <w:rsid w:val="00BA3E18"/>
    <w:rsid w:val="00BA481D"/>
    <w:rsid w:val="00BA5718"/>
    <w:rsid w:val="00BA5C8B"/>
    <w:rsid w:val="00BA6478"/>
    <w:rsid w:val="00BA66E9"/>
    <w:rsid w:val="00BA7D15"/>
    <w:rsid w:val="00BA7E46"/>
    <w:rsid w:val="00BB00F3"/>
    <w:rsid w:val="00BB1014"/>
    <w:rsid w:val="00BB1273"/>
    <w:rsid w:val="00BB2440"/>
    <w:rsid w:val="00BB2B41"/>
    <w:rsid w:val="00BB2D2E"/>
    <w:rsid w:val="00BB2D48"/>
    <w:rsid w:val="00BB2EE1"/>
    <w:rsid w:val="00BB479D"/>
    <w:rsid w:val="00BB4BE9"/>
    <w:rsid w:val="00BB53BD"/>
    <w:rsid w:val="00BB5535"/>
    <w:rsid w:val="00BB605F"/>
    <w:rsid w:val="00BB62F0"/>
    <w:rsid w:val="00BB7E77"/>
    <w:rsid w:val="00BC0EC0"/>
    <w:rsid w:val="00BC12A0"/>
    <w:rsid w:val="00BC1A69"/>
    <w:rsid w:val="00BC2482"/>
    <w:rsid w:val="00BC46A7"/>
    <w:rsid w:val="00BC533D"/>
    <w:rsid w:val="00BC5CF0"/>
    <w:rsid w:val="00BC66C1"/>
    <w:rsid w:val="00BC75E7"/>
    <w:rsid w:val="00BC7F8F"/>
    <w:rsid w:val="00BD2EA6"/>
    <w:rsid w:val="00BD3622"/>
    <w:rsid w:val="00BD3B26"/>
    <w:rsid w:val="00BD3C3F"/>
    <w:rsid w:val="00BD3D21"/>
    <w:rsid w:val="00BD59DC"/>
    <w:rsid w:val="00BD6122"/>
    <w:rsid w:val="00BD6B7A"/>
    <w:rsid w:val="00BD71B0"/>
    <w:rsid w:val="00BD74BE"/>
    <w:rsid w:val="00BD7A9A"/>
    <w:rsid w:val="00BE1386"/>
    <w:rsid w:val="00BE1819"/>
    <w:rsid w:val="00BE31A5"/>
    <w:rsid w:val="00BE47EC"/>
    <w:rsid w:val="00BE4C64"/>
    <w:rsid w:val="00BE54BB"/>
    <w:rsid w:val="00BE5EC1"/>
    <w:rsid w:val="00BE6493"/>
    <w:rsid w:val="00BE7C79"/>
    <w:rsid w:val="00BF09F5"/>
    <w:rsid w:val="00BF1355"/>
    <w:rsid w:val="00BF1559"/>
    <w:rsid w:val="00BF17BC"/>
    <w:rsid w:val="00BF222F"/>
    <w:rsid w:val="00BF2B26"/>
    <w:rsid w:val="00BF3970"/>
    <w:rsid w:val="00BF5239"/>
    <w:rsid w:val="00BF71B0"/>
    <w:rsid w:val="00BF7763"/>
    <w:rsid w:val="00BF7818"/>
    <w:rsid w:val="00BF7A34"/>
    <w:rsid w:val="00C0051E"/>
    <w:rsid w:val="00C00AD6"/>
    <w:rsid w:val="00C00EE8"/>
    <w:rsid w:val="00C015A6"/>
    <w:rsid w:val="00C01DBD"/>
    <w:rsid w:val="00C01E99"/>
    <w:rsid w:val="00C02560"/>
    <w:rsid w:val="00C03603"/>
    <w:rsid w:val="00C04CDE"/>
    <w:rsid w:val="00C04EC8"/>
    <w:rsid w:val="00C050B3"/>
    <w:rsid w:val="00C05B51"/>
    <w:rsid w:val="00C07004"/>
    <w:rsid w:val="00C12006"/>
    <w:rsid w:val="00C12F85"/>
    <w:rsid w:val="00C13D57"/>
    <w:rsid w:val="00C1425C"/>
    <w:rsid w:val="00C15018"/>
    <w:rsid w:val="00C15282"/>
    <w:rsid w:val="00C166AA"/>
    <w:rsid w:val="00C17880"/>
    <w:rsid w:val="00C2266E"/>
    <w:rsid w:val="00C22EB0"/>
    <w:rsid w:val="00C251C1"/>
    <w:rsid w:val="00C25DAE"/>
    <w:rsid w:val="00C2627E"/>
    <w:rsid w:val="00C26877"/>
    <w:rsid w:val="00C26FE2"/>
    <w:rsid w:val="00C2731D"/>
    <w:rsid w:val="00C27B5D"/>
    <w:rsid w:val="00C300C0"/>
    <w:rsid w:val="00C302DD"/>
    <w:rsid w:val="00C3045F"/>
    <w:rsid w:val="00C30D15"/>
    <w:rsid w:val="00C30E78"/>
    <w:rsid w:val="00C30F9A"/>
    <w:rsid w:val="00C31A96"/>
    <w:rsid w:val="00C31E75"/>
    <w:rsid w:val="00C35157"/>
    <w:rsid w:val="00C363A6"/>
    <w:rsid w:val="00C36B5A"/>
    <w:rsid w:val="00C40327"/>
    <w:rsid w:val="00C409DE"/>
    <w:rsid w:val="00C41D39"/>
    <w:rsid w:val="00C425BC"/>
    <w:rsid w:val="00C42918"/>
    <w:rsid w:val="00C43594"/>
    <w:rsid w:val="00C45A63"/>
    <w:rsid w:val="00C45D1C"/>
    <w:rsid w:val="00C46389"/>
    <w:rsid w:val="00C46984"/>
    <w:rsid w:val="00C46CE4"/>
    <w:rsid w:val="00C475B4"/>
    <w:rsid w:val="00C47D8F"/>
    <w:rsid w:val="00C52136"/>
    <w:rsid w:val="00C53A43"/>
    <w:rsid w:val="00C53D74"/>
    <w:rsid w:val="00C54EF0"/>
    <w:rsid w:val="00C550FF"/>
    <w:rsid w:val="00C55E45"/>
    <w:rsid w:val="00C56FDB"/>
    <w:rsid w:val="00C571DB"/>
    <w:rsid w:val="00C57404"/>
    <w:rsid w:val="00C6155D"/>
    <w:rsid w:val="00C62FF7"/>
    <w:rsid w:val="00C6360E"/>
    <w:rsid w:val="00C63A05"/>
    <w:rsid w:val="00C64C9F"/>
    <w:rsid w:val="00C65C36"/>
    <w:rsid w:val="00C66B4E"/>
    <w:rsid w:val="00C66B9B"/>
    <w:rsid w:val="00C704ED"/>
    <w:rsid w:val="00C7142B"/>
    <w:rsid w:val="00C7143A"/>
    <w:rsid w:val="00C733B7"/>
    <w:rsid w:val="00C736C9"/>
    <w:rsid w:val="00C742AB"/>
    <w:rsid w:val="00C74702"/>
    <w:rsid w:val="00C76F62"/>
    <w:rsid w:val="00C77220"/>
    <w:rsid w:val="00C80A28"/>
    <w:rsid w:val="00C83842"/>
    <w:rsid w:val="00C85908"/>
    <w:rsid w:val="00C90FA3"/>
    <w:rsid w:val="00C93CB8"/>
    <w:rsid w:val="00C947E1"/>
    <w:rsid w:val="00C94C68"/>
    <w:rsid w:val="00C962DD"/>
    <w:rsid w:val="00C97678"/>
    <w:rsid w:val="00CA0562"/>
    <w:rsid w:val="00CA2C43"/>
    <w:rsid w:val="00CA4670"/>
    <w:rsid w:val="00CA488A"/>
    <w:rsid w:val="00CA5979"/>
    <w:rsid w:val="00CA781C"/>
    <w:rsid w:val="00CB0CEE"/>
    <w:rsid w:val="00CB0E15"/>
    <w:rsid w:val="00CB107C"/>
    <w:rsid w:val="00CB23C6"/>
    <w:rsid w:val="00CB28F7"/>
    <w:rsid w:val="00CB2DD0"/>
    <w:rsid w:val="00CB2EB9"/>
    <w:rsid w:val="00CB48FB"/>
    <w:rsid w:val="00CB5D7E"/>
    <w:rsid w:val="00CB6126"/>
    <w:rsid w:val="00CB62D3"/>
    <w:rsid w:val="00CB698A"/>
    <w:rsid w:val="00CC1153"/>
    <w:rsid w:val="00CC1522"/>
    <w:rsid w:val="00CC1617"/>
    <w:rsid w:val="00CC4EDC"/>
    <w:rsid w:val="00CC5917"/>
    <w:rsid w:val="00CD0B00"/>
    <w:rsid w:val="00CD10E3"/>
    <w:rsid w:val="00CD1523"/>
    <w:rsid w:val="00CD1CCD"/>
    <w:rsid w:val="00CD20CA"/>
    <w:rsid w:val="00CD2A76"/>
    <w:rsid w:val="00CD2E8D"/>
    <w:rsid w:val="00CD3F75"/>
    <w:rsid w:val="00CD4CBF"/>
    <w:rsid w:val="00CD689D"/>
    <w:rsid w:val="00CD6EFC"/>
    <w:rsid w:val="00CD7982"/>
    <w:rsid w:val="00CE0A6A"/>
    <w:rsid w:val="00CE17FF"/>
    <w:rsid w:val="00CE1A79"/>
    <w:rsid w:val="00CE429D"/>
    <w:rsid w:val="00CE6DA5"/>
    <w:rsid w:val="00CE78C6"/>
    <w:rsid w:val="00CF0849"/>
    <w:rsid w:val="00CF0A44"/>
    <w:rsid w:val="00CF16CC"/>
    <w:rsid w:val="00CF1991"/>
    <w:rsid w:val="00CF33DD"/>
    <w:rsid w:val="00CF488D"/>
    <w:rsid w:val="00CF4E3E"/>
    <w:rsid w:val="00CF586C"/>
    <w:rsid w:val="00CF720A"/>
    <w:rsid w:val="00CF72D4"/>
    <w:rsid w:val="00CF7EB0"/>
    <w:rsid w:val="00D00B6A"/>
    <w:rsid w:val="00D0111F"/>
    <w:rsid w:val="00D011E6"/>
    <w:rsid w:val="00D03A74"/>
    <w:rsid w:val="00D03C76"/>
    <w:rsid w:val="00D03F14"/>
    <w:rsid w:val="00D04C39"/>
    <w:rsid w:val="00D04DF5"/>
    <w:rsid w:val="00D04FA9"/>
    <w:rsid w:val="00D05886"/>
    <w:rsid w:val="00D058C1"/>
    <w:rsid w:val="00D06A72"/>
    <w:rsid w:val="00D0738C"/>
    <w:rsid w:val="00D07915"/>
    <w:rsid w:val="00D07C18"/>
    <w:rsid w:val="00D100E9"/>
    <w:rsid w:val="00D11310"/>
    <w:rsid w:val="00D11F87"/>
    <w:rsid w:val="00D132E7"/>
    <w:rsid w:val="00D13BEA"/>
    <w:rsid w:val="00D14588"/>
    <w:rsid w:val="00D161AE"/>
    <w:rsid w:val="00D17132"/>
    <w:rsid w:val="00D1737B"/>
    <w:rsid w:val="00D17B1A"/>
    <w:rsid w:val="00D21689"/>
    <w:rsid w:val="00D21C1A"/>
    <w:rsid w:val="00D22D67"/>
    <w:rsid w:val="00D25369"/>
    <w:rsid w:val="00D25817"/>
    <w:rsid w:val="00D2626E"/>
    <w:rsid w:val="00D26B32"/>
    <w:rsid w:val="00D26DD8"/>
    <w:rsid w:val="00D32980"/>
    <w:rsid w:val="00D3339D"/>
    <w:rsid w:val="00D340C0"/>
    <w:rsid w:val="00D355EA"/>
    <w:rsid w:val="00D35A8C"/>
    <w:rsid w:val="00D366F0"/>
    <w:rsid w:val="00D368E9"/>
    <w:rsid w:val="00D37C79"/>
    <w:rsid w:val="00D40A71"/>
    <w:rsid w:val="00D41FCC"/>
    <w:rsid w:val="00D42B54"/>
    <w:rsid w:val="00D42CDD"/>
    <w:rsid w:val="00D4329D"/>
    <w:rsid w:val="00D4448C"/>
    <w:rsid w:val="00D445A2"/>
    <w:rsid w:val="00D45C1B"/>
    <w:rsid w:val="00D45D5D"/>
    <w:rsid w:val="00D46C98"/>
    <w:rsid w:val="00D50A80"/>
    <w:rsid w:val="00D529BB"/>
    <w:rsid w:val="00D52C90"/>
    <w:rsid w:val="00D52EDB"/>
    <w:rsid w:val="00D53B17"/>
    <w:rsid w:val="00D53EEA"/>
    <w:rsid w:val="00D573AF"/>
    <w:rsid w:val="00D60F6A"/>
    <w:rsid w:val="00D62B03"/>
    <w:rsid w:val="00D634B5"/>
    <w:rsid w:val="00D649EA"/>
    <w:rsid w:val="00D707A3"/>
    <w:rsid w:val="00D70C8C"/>
    <w:rsid w:val="00D7121E"/>
    <w:rsid w:val="00D712C7"/>
    <w:rsid w:val="00D72140"/>
    <w:rsid w:val="00D72EAF"/>
    <w:rsid w:val="00D73064"/>
    <w:rsid w:val="00D759A2"/>
    <w:rsid w:val="00D75CB8"/>
    <w:rsid w:val="00D764A0"/>
    <w:rsid w:val="00D77862"/>
    <w:rsid w:val="00D77B9A"/>
    <w:rsid w:val="00D80CDC"/>
    <w:rsid w:val="00D81075"/>
    <w:rsid w:val="00D814CF"/>
    <w:rsid w:val="00D825A8"/>
    <w:rsid w:val="00D82DA4"/>
    <w:rsid w:val="00D83215"/>
    <w:rsid w:val="00D83DAC"/>
    <w:rsid w:val="00D85002"/>
    <w:rsid w:val="00D86629"/>
    <w:rsid w:val="00D8688E"/>
    <w:rsid w:val="00D86BF2"/>
    <w:rsid w:val="00D8792D"/>
    <w:rsid w:val="00D87AD8"/>
    <w:rsid w:val="00D9055A"/>
    <w:rsid w:val="00D905BD"/>
    <w:rsid w:val="00D90DE5"/>
    <w:rsid w:val="00D92EB2"/>
    <w:rsid w:val="00D931EF"/>
    <w:rsid w:val="00D94137"/>
    <w:rsid w:val="00D948B9"/>
    <w:rsid w:val="00D954E3"/>
    <w:rsid w:val="00D95A04"/>
    <w:rsid w:val="00D96515"/>
    <w:rsid w:val="00D97117"/>
    <w:rsid w:val="00D9750F"/>
    <w:rsid w:val="00DA0312"/>
    <w:rsid w:val="00DA0C54"/>
    <w:rsid w:val="00DA125F"/>
    <w:rsid w:val="00DA2305"/>
    <w:rsid w:val="00DA2401"/>
    <w:rsid w:val="00DA3373"/>
    <w:rsid w:val="00DA3622"/>
    <w:rsid w:val="00DA3725"/>
    <w:rsid w:val="00DA3942"/>
    <w:rsid w:val="00DA3D34"/>
    <w:rsid w:val="00DA3F88"/>
    <w:rsid w:val="00DA6C53"/>
    <w:rsid w:val="00DA7B3D"/>
    <w:rsid w:val="00DA7FA7"/>
    <w:rsid w:val="00DB009C"/>
    <w:rsid w:val="00DB076D"/>
    <w:rsid w:val="00DB1041"/>
    <w:rsid w:val="00DB1741"/>
    <w:rsid w:val="00DB2336"/>
    <w:rsid w:val="00DB2F4F"/>
    <w:rsid w:val="00DB385D"/>
    <w:rsid w:val="00DB4CB2"/>
    <w:rsid w:val="00DB56F9"/>
    <w:rsid w:val="00DC0520"/>
    <w:rsid w:val="00DC0AF3"/>
    <w:rsid w:val="00DC2DF6"/>
    <w:rsid w:val="00DC3614"/>
    <w:rsid w:val="00DC4732"/>
    <w:rsid w:val="00DC4D6A"/>
    <w:rsid w:val="00DC598A"/>
    <w:rsid w:val="00DC78E1"/>
    <w:rsid w:val="00DC7918"/>
    <w:rsid w:val="00DC7D71"/>
    <w:rsid w:val="00DC7DA7"/>
    <w:rsid w:val="00DD0A96"/>
    <w:rsid w:val="00DD0BB6"/>
    <w:rsid w:val="00DD2284"/>
    <w:rsid w:val="00DD39A1"/>
    <w:rsid w:val="00DD4C2F"/>
    <w:rsid w:val="00DD5C77"/>
    <w:rsid w:val="00DD6B0D"/>
    <w:rsid w:val="00DE0796"/>
    <w:rsid w:val="00DE3513"/>
    <w:rsid w:val="00DE3C04"/>
    <w:rsid w:val="00DE5D76"/>
    <w:rsid w:val="00DE5FEB"/>
    <w:rsid w:val="00DE7E81"/>
    <w:rsid w:val="00DF0DE7"/>
    <w:rsid w:val="00DF147D"/>
    <w:rsid w:val="00DF26B8"/>
    <w:rsid w:val="00DF346F"/>
    <w:rsid w:val="00DF3BDC"/>
    <w:rsid w:val="00DF55C3"/>
    <w:rsid w:val="00DF6A77"/>
    <w:rsid w:val="00DF7E3D"/>
    <w:rsid w:val="00E00D8B"/>
    <w:rsid w:val="00E00EBC"/>
    <w:rsid w:val="00E01722"/>
    <w:rsid w:val="00E033E2"/>
    <w:rsid w:val="00E039D6"/>
    <w:rsid w:val="00E046C3"/>
    <w:rsid w:val="00E05F0F"/>
    <w:rsid w:val="00E06937"/>
    <w:rsid w:val="00E07818"/>
    <w:rsid w:val="00E10E04"/>
    <w:rsid w:val="00E11702"/>
    <w:rsid w:val="00E12595"/>
    <w:rsid w:val="00E13193"/>
    <w:rsid w:val="00E142CF"/>
    <w:rsid w:val="00E15179"/>
    <w:rsid w:val="00E17578"/>
    <w:rsid w:val="00E175B4"/>
    <w:rsid w:val="00E20737"/>
    <w:rsid w:val="00E210AC"/>
    <w:rsid w:val="00E21EE4"/>
    <w:rsid w:val="00E21F6E"/>
    <w:rsid w:val="00E2345B"/>
    <w:rsid w:val="00E27A52"/>
    <w:rsid w:val="00E300F1"/>
    <w:rsid w:val="00E301BA"/>
    <w:rsid w:val="00E31558"/>
    <w:rsid w:val="00E31601"/>
    <w:rsid w:val="00E31623"/>
    <w:rsid w:val="00E3268B"/>
    <w:rsid w:val="00E33BF4"/>
    <w:rsid w:val="00E33CA6"/>
    <w:rsid w:val="00E33E99"/>
    <w:rsid w:val="00E346B6"/>
    <w:rsid w:val="00E364AB"/>
    <w:rsid w:val="00E37BBD"/>
    <w:rsid w:val="00E37E27"/>
    <w:rsid w:val="00E40C02"/>
    <w:rsid w:val="00E412BA"/>
    <w:rsid w:val="00E41BA0"/>
    <w:rsid w:val="00E424DA"/>
    <w:rsid w:val="00E42C35"/>
    <w:rsid w:val="00E4409C"/>
    <w:rsid w:val="00E44236"/>
    <w:rsid w:val="00E46A42"/>
    <w:rsid w:val="00E5048A"/>
    <w:rsid w:val="00E50499"/>
    <w:rsid w:val="00E528A6"/>
    <w:rsid w:val="00E53E7F"/>
    <w:rsid w:val="00E54CB2"/>
    <w:rsid w:val="00E55507"/>
    <w:rsid w:val="00E5655E"/>
    <w:rsid w:val="00E57956"/>
    <w:rsid w:val="00E60B45"/>
    <w:rsid w:val="00E60C28"/>
    <w:rsid w:val="00E60EAA"/>
    <w:rsid w:val="00E61AF1"/>
    <w:rsid w:val="00E638ED"/>
    <w:rsid w:val="00E63AEB"/>
    <w:rsid w:val="00E64628"/>
    <w:rsid w:val="00E646FA"/>
    <w:rsid w:val="00E64E43"/>
    <w:rsid w:val="00E65BBD"/>
    <w:rsid w:val="00E668BC"/>
    <w:rsid w:val="00E6748D"/>
    <w:rsid w:val="00E704F2"/>
    <w:rsid w:val="00E7065E"/>
    <w:rsid w:val="00E71B98"/>
    <w:rsid w:val="00E74724"/>
    <w:rsid w:val="00E74775"/>
    <w:rsid w:val="00E747E0"/>
    <w:rsid w:val="00E74D1A"/>
    <w:rsid w:val="00E74E3D"/>
    <w:rsid w:val="00E75732"/>
    <w:rsid w:val="00E758EC"/>
    <w:rsid w:val="00E75B62"/>
    <w:rsid w:val="00E76323"/>
    <w:rsid w:val="00E77A33"/>
    <w:rsid w:val="00E77D88"/>
    <w:rsid w:val="00E80DB9"/>
    <w:rsid w:val="00E81901"/>
    <w:rsid w:val="00E83316"/>
    <w:rsid w:val="00E86960"/>
    <w:rsid w:val="00E87B94"/>
    <w:rsid w:val="00E87D78"/>
    <w:rsid w:val="00E9016F"/>
    <w:rsid w:val="00E917D0"/>
    <w:rsid w:val="00E92FE6"/>
    <w:rsid w:val="00E934D0"/>
    <w:rsid w:val="00E96017"/>
    <w:rsid w:val="00E964C8"/>
    <w:rsid w:val="00E979B0"/>
    <w:rsid w:val="00E97A0F"/>
    <w:rsid w:val="00EA12FD"/>
    <w:rsid w:val="00EA32A0"/>
    <w:rsid w:val="00EA3D59"/>
    <w:rsid w:val="00EA436C"/>
    <w:rsid w:val="00EA5AA2"/>
    <w:rsid w:val="00EA5D03"/>
    <w:rsid w:val="00EA7A4F"/>
    <w:rsid w:val="00EA7A88"/>
    <w:rsid w:val="00EB017A"/>
    <w:rsid w:val="00EB0889"/>
    <w:rsid w:val="00EB1046"/>
    <w:rsid w:val="00EB151C"/>
    <w:rsid w:val="00EB28E3"/>
    <w:rsid w:val="00EB3AA4"/>
    <w:rsid w:val="00EB3AF4"/>
    <w:rsid w:val="00EB4403"/>
    <w:rsid w:val="00EB470C"/>
    <w:rsid w:val="00EB526C"/>
    <w:rsid w:val="00EB64EF"/>
    <w:rsid w:val="00EB73D7"/>
    <w:rsid w:val="00EB79EE"/>
    <w:rsid w:val="00EB7FE2"/>
    <w:rsid w:val="00EC0B25"/>
    <w:rsid w:val="00EC162D"/>
    <w:rsid w:val="00EC2514"/>
    <w:rsid w:val="00EC4D39"/>
    <w:rsid w:val="00EC591A"/>
    <w:rsid w:val="00EC6A65"/>
    <w:rsid w:val="00EC714A"/>
    <w:rsid w:val="00EC7A6C"/>
    <w:rsid w:val="00ED0140"/>
    <w:rsid w:val="00ED0949"/>
    <w:rsid w:val="00ED11A2"/>
    <w:rsid w:val="00ED26E9"/>
    <w:rsid w:val="00ED29A2"/>
    <w:rsid w:val="00ED3EA1"/>
    <w:rsid w:val="00ED4038"/>
    <w:rsid w:val="00ED4647"/>
    <w:rsid w:val="00ED61E2"/>
    <w:rsid w:val="00EE1537"/>
    <w:rsid w:val="00EE155A"/>
    <w:rsid w:val="00EE3FE6"/>
    <w:rsid w:val="00EE418E"/>
    <w:rsid w:val="00EE4722"/>
    <w:rsid w:val="00EE4BA9"/>
    <w:rsid w:val="00EE5100"/>
    <w:rsid w:val="00EE55D7"/>
    <w:rsid w:val="00EE5FAA"/>
    <w:rsid w:val="00EE6977"/>
    <w:rsid w:val="00EF0CEA"/>
    <w:rsid w:val="00EF14A0"/>
    <w:rsid w:val="00EF231C"/>
    <w:rsid w:val="00EF2A85"/>
    <w:rsid w:val="00EF36F6"/>
    <w:rsid w:val="00EF44CE"/>
    <w:rsid w:val="00EF54FA"/>
    <w:rsid w:val="00EF613B"/>
    <w:rsid w:val="00EF754D"/>
    <w:rsid w:val="00F00845"/>
    <w:rsid w:val="00F0138F"/>
    <w:rsid w:val="00F04F1A"/>
    <w:rsid w:val="00F05A70"/>
    <w:rsid w:val="00F06B68"/>
    <w:rsid w:val="00F075CC"/>
    <w:rsid w:val="00F07FE3"/>
    <w:rsid w:val="00F1101F"/>
    <w:rsid w:val="00F11AA5"/>
    <w:rsid w:val="00F11E96"/>
    <w:rsid w:val="00F12EB6"/>
    <w:rsid w:val="00F13ED4"/>
    <w:rsid w:val="00F157D7"/>
    <w:rsid w:val="00F164A1"/>
    <w:rsid w:val="00F168AD"/>
    <w:rsid w:val="00F17187"/>
    <w:rsid w:val="00F20AF7"/>
    <w:rsid w:val="00F22942"/>
    <w:rsid w:val="00F23A61"/>
    <w:rsid w:val="00F240BB"/>
    <w:rsid w:val="00F24B3B"/>
    <w:rsid w:val="00F25D18"/>
    <w:rsid w:val="00F25E2F"/>
    <w:rsid w:val="00F26D7B"/>
    <w:rsid w:val="00F2709E"/>
    <w:rsid w:val="00F27DA2"/>
    <w:rsid w:val="00F302A5"/>
    <w:rsid w:val="00F308C3"/>
    <w:rsid w:val="00F314D7"/>
    <w:rsid w:val="00F32075"/>
    <w:rsid w:val="00F33CB2"/>
    <w:rsid w:val="00F34225"/>
    <w:rsid w:val="00F358EB"/>
    <w:rsid w:val="00F35BB8"/>
    <w:rsid w:val="00F366F8"/>
    <w:rsid w:val="00F41BA7"/>
    <w:rsid w:val="00F41D79"/>
    <w:rsid w:val="00F43A9F"/>
    <w:rsid w:val="00F44273"/>
    <w:rsid w:val="00F4455B"/>
    <w:rsid w:val="00F45280"/>
    <w:rsid w:val="00F459FE"/>
    <w:rsid w:val="00F45BA7"/>
    <w:rsid w:val="00F45D8F"/>
    <w:rsid w:val="00F4760A"/>
    <w:rsid w:val="00F47F6E"/>
    <w:rsid w:val="00F51F79"/>
    <w:rsid w:val="00F53CFA"/>
    <w:rsid w:val="00F53DE6"/>
    <w:rsid w:val="00F54FDE"/>
    <w:rsid w:val="00F55313"/>
    <w:rsid w:val="00F5541F"/>
    <w:rsid w:val="00F55A4E"/>
    <w:rsid w:val="00F57246"/>
    <w:rsid w:val="00F603C7"/>
    <w:rsid w:val="00F6099E"/>
    <w:rsid w:val="00F61F5B"/>
    <w:rsid w:val="00F6376F"/>
    <w:rsid w:val="00F66EC5"/>
    <w:rsid w:val="00F71BCD"/>
    <w:rsid w:val="00F72978"/>
    <w:rsid w:val="00F73677"/>
    <w:rsid w:val="00F7458C"/>
    <w:rsid w:val="00F750D7"/>
    <w:rsid w:val="00F752F4"/>
    <w:rsid w:val="00F7557C"/>
    <w:rsid w:val="00F7730B"/>
    <w:rsid w:val="00F77E98"/>
    <w:rsid w:val="00F80F0A"/>
    <w:rsid w:val="00F82408"/>
    <w:rsid w:val="00F844FE"/>
    <w:rsid w:val="00F861D3"/>
    <w:rsid w:val="00F90B4E"/>
    <w:rsid w:val="00F913AE"/>
    <w:rsid w:val="00F916F3"/>
    <w:rsid w:val="00F91A77"/>
    <w:rsid w:val="00F91AA5"/>
    <w:rsid w:val="00F924CE"/>
    <w:rsid w:val="00F92A6C"/>
    <w:rsid w:val="00F951AD"/>
    <w:rsid w:val="00F95CA0"/>
    <w:rsid w:val="00F96732"/>
    <w:rsid w:val="00F97B42"/>
    <w:rsid w:val="00FA1BF9"/>
    <w:rsid w:val="00FA392A"/>
    <w:rsid w:val="00FA55AE"/>
    <w:rsid w:val="00FA5C33"/>
    <w:rsid w:val="00FA6052"/>
    <w:rsid w:val="00FA645F"/>
    <w:rsid w:val="00FA74A6"/>
    <w:rsid w:val="00FB154E"/>
    <w:rsid w:val="00FB2319"/>
    <w:rsid w:val="00FB2BFF"/>
    <w:rsid w:val="00FB309A"/>
    <w:rsid w:val="00FB413F"/>
    <w:rsid w:val="00FB6582"/>
    <w:rsid w:val="00FB6A4E"/>
    <w:rsid w:val="00FB70D4"/>
    <w:rsid w:val="00FC0D6A"/>
    <w:rsid w:val="00FC0E7D"/>
    <w:rsid w:val="00FC120D"/>
    <w:rsid w:val="00FC15F4"/>
    <w:rsid w:val="00FC4E37"/>
    <w:rsid w:val="00FC520C"/>
    <w:rsid w:val="00FC63E7"/>
    <w:rsid w:val="00FC738A"/>
    <w:rsid w:val="00FD019A"/>
    <w:rsid w:val="00FD15D4"/>
    <w:rsid w:val="00FD1A73"/>
    <w:rsid w:val="00FD2A8E"/>
    <w:rsid w:val="00FD2C73"/>
    <w:rsid w:val="00FD2CAB"/>
    <w:rsid w:val="00FD36CA"/>
    <w:rsid w:val="00FD40FF"/>
    <w:rsid w:val="00FD4F06"/>
    <w:rsid w:val="00FD538B"/>
    <w:rsid w:val="00FD541F"/>
    <w:rsid w:val="00FD600A"/>
    <w:rsid w:val="00FD67DF"/>
    <w:rsid w:val="00FE384F"/>
    <w:rsid w:val="00FE4337"/>
    <w:rsid w:val="00FE4F98"/>
    <w:rsid w:val="00FE6849"/>
    <w:rsid w:val="00FE6C84"/>
    <w:rsid w:val="00FF019F"/>
    <w:rsid w:val="00FF0812"/>
    <w:rsid w:val="00FF0E28"/>
    <w:rsid w:val="00FF284D"/>
    <w:rsid w:val="00FF4272"/>
    <w:rsid w:val="00FF4A41"/>
    <w:rsid w:val="00FF5860"/>
    <w:rsid w:val="00FF7F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7915"/>
    <w:rPr>
      <w:sz w:val="24"/>
      <w:szCs w:val="24"/>
      <w:lang w:val="es-ES_tradnl"/>
    </w:rPr>
  </w:style>
  <w:style w:type="paragraph" w:styleId="Ttulo1">
    <w:name w:val="heading 1"/>
    <w:basedOn w:val="Normal"/>
    <w:next w:val="Normal"/>
    <w:link w:val="Ttulo1Car"/>
    <w:uiPriority w:val="99"/>
    <w:qFormat/>
    <w:rsid w:val="00D07915"/>
    <w:pPr>
      <w:keepNext/>
      <w:jc w:val="both"/>
      <w:outlineLvl w:val="0"/>
    </w:pPr>
    <w:rPr>
      <w:rFonts w:ascii="Calibri" w:hAnsi="Calibri"/>
      <w:b/>
      <w:bCs/>
      <w:sz w:val="28"/>
      <w:szCs w:val="28"/>
      <w:lang w:val="es-ES"/>
    </w:rPr>
  </w:style>
  <w:style w:type="paragraph" w:styleId="Ttulo2">
    <w:name w:val="heading 2"/>
    <w:basedOn w:val="Normal"/>
    <w:next w:val="Normal"/>
    <w:link w:val="Ttulo2Car"/>
    <w:uiPriority w:val="99"/>
    <w:qFormat/>
    <w:rsid w:val="00D07915"/>
    <w:pPr>
      <w:keepNext/>
      <w:jc w:val="center"/>
      <w:outlineLvl w:val="1"/>
    </w:pPr>
    <w:rPr>
      <w:rFonts w:ascii="Calibri" w:hAnsi="Calibri"/>
      <w:b/>
      <w:bCs/>
      <w:sz w:val="40"/>
      <w:szCs w:val="40"/>
      <w:lang w:val="es-ES"/>
    </w:rPr>
  </w:style>
  <w:style w:type="paragraph" w:styleId="Ttulo3">
    <w:name w:val="heading 3"/>
    <w:basedOn w:val="Normal"/>
    <w:next w:val="Normal"/>
    <w:link w:val="Ttulo3Car"/>
    <w:uiPriority w:val="99"/>
    <w:qFormat/>
    <w:rsid w:val="00D07915"/>
    <w:pPr>
      <w:keepNext/>
      <w:spacing w:after="480"/>
      <w:jc w:val="center"/>
      <w:outlineLvl w:val="2"/>
    </w:pPr>
    <w:rPr>
      <w:rFonts w:ascii="Calibri" w:hAnsi="Calibri"/>
      <w:b/>
      <w:bCs/>
      <w:color w:val="FF0000"/>
      <w:sz w:val="48"/>
      <w:szCs w:val="48"/>
      <w:lang w:val="es-ES"/>
    </w:rPr>
  </w:style>
  <w:style w:type="paragraph" w:styleId="Ttulo4">
    <w:name w:val="heading 4"/>
    <w:basedOn w:val="Normal"/>
    <w:next w:val="Normal"/>
    <w:link w:val="Ttulo4Car"/>
    <w:uiPriority w:val="99"/>
    <w:qFormat/>
    <w:rsid w:val="00D07915"/>
    <w:pPr>
      <w:keepNext/>
      <w:spacing w:after="120"/>
      <w:jc w:val="center"/>
      <w:outlineLvl w:val="3"/>
    </w:pPr>
    <w:rPr>
      <w:lang w:val="es-ES"/>
    </w:rPr>
  </w:style>
  <w:style w:type="paragraph" w:styleId="Ttulo5">
    <w:name w:val="heading 5"/>
    <w:basedOn w:val="Normal"/>
    <w:next w:val="Normal"/>
    <w:link w:val="Ttulo5Car"/>
    <w:uiPriority w:val="99"/>
    <w:qFormat/>
    <w:rsid w:val="00D07915"/>
    <w:pPr>
      <w:keepNext/>
      <w:spacing w:after="120"/>
      <w:jc w:val="both"/>
      <w:outlineLvl w:val="4"/>
    </w:pPr>
    <w:rPr>
      <w:rFonts w:ascii="Calibri" w:hAnsi="Calibri"/>
      <w:lang w:val="es-ES"/>
    </w:rPr>
  </w:style>
  <w:style w:type="paragraph" w:styleId="Ttulo6">
    <w:name w:val="heading 6"/>
    <w:basedOn w:val="Normal"/>
    <w:next w:val="Normal"/>
    <w:link w:val="Ttulo6Car"/>
    <w:uiPriority w:val="99"/>
    <w:qFormat/>
    <w:rsid w:val="00D07915"/>
    <w:pPr>
      <w:keepNext/>
      <w:spacing w:after="120"/>
      <w:ind w:left="708"/>
      <w:jc w:val="both"/>
      <w:outlineLvl w:val="5"/>
    </w:pPr>
    <w:rPr>
      <w:rFonts w:ascii="Calibri" w:hAnsi="Calibri"/>
      <w:lang w:val="es-ES"/>
    </w:rPr>
  </w:style>
  <w:style w:type="paragraph" w:styleId="Ttulo7">
    <w:name w:val="heading 7"/>
    <w:basedOn w:val="Normal"/>
    <w:next w:val="Normal"/>
    <w:link w:val="Ttulo7Car"/>
    <w:uiPriority w:val="99"/>
    <w:qFormat/>
    <w:rsid w:val="00D07915"/>
    <w:pPr>
      <w:keepNext/>
      <w:spacing w:before="40" w:after="40"/>
      <w:jc w:val="center"/>
      <w:outlineLvl w:val="6"/>
    </w:pPr>
    <w:rPr>
      <w:rFonts w:ascii="Calibri" w:hAnsi="Calibri"/>
      <w:b/>
      <w:bCs/>
      <w:color w:val="FFFFFF"/>
      <w:sz w:val="20"/>
      <w:szCs w:val="20"/>
      <w:lang w:val="es-ES"/>
    </w:rPr>
  </w:style>
  <w:style w:type="paragraph" w:styleId="Ttulo8">
    <w:name w:val="heading 8"/>
    <w:basedOn w:val="Normal"/>
    <w:next w:val="Normal"/>
    <w:link w:val="Ttulo8Car"/>
    <w:uiPriority w:val="99"/>
    <w:qFormat/>
    <w:rsid w:val="00D07915"/>
    <w:pPr>
      <w:keepNext/>
      <w:spacing w:before="40" w:after="40"/>
      <w:ind w:left="213"/>
      <w:outlineLvl w:val="7"/>
    </w:pPr>
    <w:rPr>
      <w:rFonts w:ascii="Calibri" w:hAnsi="Calibri"/>
      <w:b/>
      <w:bCs/>
    </w:rPr>
  </w:style>
  <w:style w:type="paragraph" w:styleId="Ttulo9">
    <w:name w:val="heading 9"/>
    <w:basedOn w:val="Normal"/>
    <w:next w:val="Normal"/>
    <w:link w:val="Ttulo9Car"/>
    <w:uiPriority w:val="99"/>
    <w:qFormat/>
    <w:rsid w:val="00D07915"/>
    <w:pPr>
      <w:keepNext/>
      <w:spacing w:after="300"/>
      <w:jc w:val="both"/>
      <w:outlineLvl w:val="8"/>
    </w:pPr>
    <w:rPr>
      <w:rFonts w:ascii="Calibri" w:hAnsi="Calibri"/>
      <w:b/>
      <w:bCs/>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7915"/>
    <w:rPr>
      <w:rFonts w:ascii="Cambria" w:hAnsi="Cambria" w:cs="Cambria"/>
      <w:b/>
      <w:bCs/>
      <w:kern w:val="32"/>
      <w:sz w:val="32"/>
      <w:szCs w:val="32"/>
      <w:lang w:val="es-ES_tradnl" w:eastAsia="es-ES"/>
    </w:rPr>
  </w:style>
  <w:style w:type="character" w:customStyle="1" w:styleId="Ttulo2Car">
    <w:name w:val="Título 2 Car"/>
    <w:basedOn w:val="Fuentedeprrafopredeter"/>
    <w:link w:val="Ttulo2"/>
    <w:uiPriority w:val="99"/>
    <w:locked/>
    <w:rsid w:val="00D07915"/>
    <w:rPr>
      <w:rFonts w:ascii="Cambria" w:hAnsi="Cambria" w:cs="Cambria"/>
      <w:b/>
      <w:bCs/>
      <w:i/>
      <w:iCs/>
      <w:sz w:val="28"/>
      <w:szCs w:val="28"/>
      <w:lang w:val="es-ES_tradnl" w:eastAsia="es-ES"/>
    </w:rPr>
  </w:style>
  <w:style w:type="character" w:customStyle="1" w:styleId="Ttulo3Car">
    <w:name w:val="Título 3 Car"/>
    <w:basedOn w:val="Fuentedeprrafopredeter"/>
    <w:link w:val="Ttulo3"/>
    <w:uiPriority w:val="99"/>
    <w:locked/>
    <w:rsid w:val="00D07915"/>
    <w:rPr>
      <w:rFonts w:ascii="Cambria" w:hAnsi="Cambria" w:cs="Cambria"/>
      <w:b/>
      <w:bCs/>
      <w:sz w:val="26"/>
      <w:szCs w:val="26"/>
      <w:lang w:val="es-ES_tradnl" w:eastAsia="es-ES"/>
    </w:rPr>
  </w:style>
  <w:style w:type="character" w:customStyle="1" w:styleId="Ttulo4Car">
    <w:name w:val="Título 4 Car"/>
    <w:basedOn w:val="Fuentedeprrafopredeter"/>
    <w:link w:val="Ttulo4"/>
    <w:uiPriority w:val="99"/>
    <w:locked/>
    <w:rsid w:val="00D07915"/>
    <w:rPr>
      <w:rFonts w:ascii="Times New Roman" w:hAnsi="Times New Roman" w:cs="Times New Roman"/>
      <w:b/>
      <w:bCs/>
      <w:sz w:val="28"/>
      <w:szCs w:val="28"/>
      <w:lang w:val="es-ES_tradnl" w:eastAsia="es-ES"/>
    </w:rPr>
  </w:style>
  <w:style w:type="character" w:customStyle="1" w:styleId="Ttulo5Car">
    <w:name w:val="Título 5 Car"/>
    <w:basedOn w:val="Fuentedeprrafopredeter"/>
    <w:link w:val="Ttulo5"/>
    <w:uiPriority w:val="99"/>
    <w:locked/>
    <w:rsid w:val="00D07915"/>
    <w:rPr>
      <w:rFonts w:ascii="Times New Roman" w:hAnsi="Times New Roman" w:cs="Times New Roman"/>
      <w:b/>
      <w:bCs/>
      <w:i/>
      <w:iCs/>
      <w:sz w:val="26"/>
      <w:szCs w:val="26"/>
      <w:lang w:val="es-ES_tradnl" w:eastAsia="es-ES"/>
    </w:rPr>
  </w:style>
  <w:style w:type="character" w:customStyle="1" w:styleId="Ttulo6Car">
    <w:name w:val="Título 6 Car"/>
    <w:basedOn w:val="Fuentedeprrafopredeter"/>
    <w:link w:val="Ttulo6"/>
    <w:uiPriority w:val="99"/>
    <w:locked/>
    <w:rsid w:val="00D07915"/>
    <w:rPr>
      <w:rFonts w:ascii="Times New Roman" w:hAnsi="Times New Roman" w:cs="Times New Roman"/>
      <w:b/>
      <w:bCs/>
      <w:lang w:val="es-ES_tradnl" w:eastAsia="es-ES"/>
    </w:rPr>
  </w:style>
  <w:style w:type="character" w:customStyle="1" w:styleId="Ttulo7Car">
    <w:name w:val="Título 7 Car"/>
    <w:basedOn w:val="Fuentedeprrafopredeter"/>
    <w:link w:val="Ttulo7"/>
    <w:uiPriority w:val="99"/>
    <w:locked/>
    <w:rsid w:val="00D07915"/>
    <w:rPr>
      <w:rFonts w:ascii="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locked/>
    <w:rsid w:val="00D07915"/>
    <w:rPr>
      <w:rFonts w:ascii="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9"/>
    <w:locked/>
    <w:rsid w:val="00D07915"/>
    <w:rPr>
      <w:rFonts w:ascii="Cambria" w:hAnsi="Cambria" w:cs="Cambria"/>
      <w:lang w:val="es-ES_tradnl" w:eastAsia="es-ES"/>
    </w:rPr>
  </w:style>
  <w:style w:type="character" w:styleId="Hipervnculo">
    <w:name w:val="Hyperlink"/>
    <w:basedOn w:val="Fuentedeprrafopredeter"/>
    <w:uiPriority w:val="99"/>
    <w:rsid w:val="00D07915"/>
    <w:rPr>
      <w:rFonts w:ascii="Times New Roman" w:hAnsi="Times New Roman" w:cs="Times New Roman"/>
      <w:color w:val="0000FF"/>
      <w:u w:val="single"/>
    </w:rPr>
  </w:style>
  <w:style w:type="paragraph" w:customStyle="1" w:styleId="Textodeglobo1">
    <w:name w:val="Texto de globo1"/>
    <w:basedOn w:val="Normal"/>
    <w:uiPriority w:val="99"/>
    <w:rsid w:val="00D07915"/>
    <w:rPr>
      <w:rFonts w:ascii="Tahoma" w:hAnsi="Tahoma" w:cs="Tahoma"/>
      <w:sz w:val="16"/>
      <w:szCs w:val="16"/>
    </w:rPr>
  </w:style>
  <w:style w:type="character" w:customStyle="1" w:styleId="TextodegloboCar">
    <w:name w:val="Texto de globo Car"/>
    <w:basedOn w:val="Fuentedeprrafopredeter"/>
    <w:uiPriority w:val="99"/>
    <w:rsid w:val="00D07915"/>
    <w:rPr>
      <w:rFonts w:ascii="Tahoma" w:hAnsi="Tahoma" w:cs="Tahoma"/>
      <w:sz w:val="16"/>
      <w:szCs w:val="16"/>
      <w:lang w:eastAsia="es-ES"/>
    </w:rPr>
  </w:style>
  <w:style w:type="paragraph" w:customStyle="1" w:styleId="Prrafodelista1">
    <w:name w:val="Párrafo de lista1"/>
    <w:basedOn w:val="Normal"/>
    <w:uiPriority w:val="99"/>
    <w:rsid w:val="00D07915"/>
    <w:pPr>
      <w:ind w:left="720"/>
    </w:pPr>
  </w:style>
  <w:style w:type="paragraph" w:styleId="Textoindependiente">
    <w:name w:val="Body Text"/>
    <w:aliases w:val="TÍTULO BOLETÍN"/>
    <w:basedOn w:val="Normal"/>
    <w:link w:val="TextoindependienteCar"/>
    <w:uiPriority w:val="99"/>
    <w:rsid w:val="00D07915"/>
    <w:pPr>
      <w:spacing w:after="120"/>
      <w:jc w:val="both"/>
    </w:pPr>
    <w:rPr>
      <w:rFonts w:ascii="Calibri" w:hAnsi="Calibri"/>
      <w:lang w:val="es-ES"/>
    </w:rPr>
  </w:style>
  <w:style w:type="character" w:customStyle="1" w:styleId="BodyTextChar">
    <w:name w:val="Body Text Char"/>
    <w:aliases w:val="TÍTULO BOLETÍN Char"/>
    <w:basedOn w:val="Fuentedeprrafopredeter"/>
    <w:link w:val="Textoindependiente"/>
    <w:uiPriority w:val="99"/>
    <w:locked/>
    <w:rsid w:val="00D07915"/>
    <w:rPr>
      <w:rFonts w:ascii="Times New Roman" w:hAnsi="Times New Roman" w:cs="Times New Roman"/>
      <w:sz w:val="24"/>
      <w:szCs w:val="24"/>
      <w:lang w:val="es-ES_tradnl" w:eastAsia="es-ES"/>
    </w:rPr>
  </w:style>
  <w:style w:type="paragraph" w:styleId="Sangradetextonormal">
    <w:name w:val="Body Text Indent"/>
    <w:aliases w:val="Sangría de texto normal1,CUADRO AMARILLO"/>
    <w:basedOn w:val="Normal"/>
    <w:link w:val="SangradetextonormalCar"/>
    <w:rsid w:val="00D07915"/>
    <w:pPr>
      <w:spacing w:after="180"/>
      <w:jc w:val="both"/>
    </w:pPr>
    <w:rPr>
      <w:rFonts w:ascii="Calibri" w:hAnsi="Calibri"/>
      <w:i/>
      <w:iCs/>
      <w:lang w:val="es-ES"/>
    </w:rPr>
  </w:style>
  <w:style w:type="character" w:customStyle="1" w:styleId="BodyTextIndentChar">
    <w:name w:val="Body Text Indent Char"/>
    <w:aliases w:val="Sangría de texto normal1 Char,CUADRO AMARILLO Char"/>
    <w:basedOn w:val="Fuentedeprrafopredeter"/>
    <w:link w:val="Sangradetextonormal"/>
    <w:uiPriority w:val="99"/>
    <w:locked/>
    <w:rsid w:val="00D07915"/>
    <w:rPr>
      <w:rFonts w:ascii="Times New Roman" w:hAnsi="Times New Roman" w:cs="Times New Roman"/>
      <w:sz w:val="24"/>
      <w:szCs w:val="24"/>
      <w:lang w:val="es-ES_tradnl" w:eastAsia="es-ES"/>
    </w:rPr>
  </w:style>
  <w:style w:type="character" w:customStyle="1" w:styleId="BodyText2Char">
    <w:name w:val="Body Text 2 Char"/>
    <w:aliases w:val="CUADRO AMARILLO Char1"/>
    <w:basedOn w:val="Fuentedeprrafopredeter"/>
    <w:uiPriority w:val="99"/>
    <w:rsid w:val="00D07915"/>
    <w:rPr>
      <w:rFonts w:ascii="Times New Roman" w:hAnsi="Times New Roman" w:cs="Times New Roman"/>
      <w:sz w:val="24"/>
      <w:szCs w:val="24"/>
      <w:lang w:val="es-ES_tradnl" w:eastAsia="es-ES"/>
    </w:rPr>
  </w:style>
  <w:style w:type="character" w:styleId="Hipervnculovisitado">
    <w:name w:val="FollowedHyperlink"/>
    <w:basedOn w:val="Fuentedeprrafopredeter"/>
    <w:uiPriority w:val="99"/>
    <w:rsid w:val="00D07915"/>
    <w:rPr>
      <w:rFonts w:ascii="Times New Roman" w:hAnsi="Times New Roman" w:cs="Times New Roman"/>
      <w:color w:val="800080"/>
      <w:u w:val="single"/>
    </w:rPr>
  </w:style>
  <w:style w:type="paragraph" w:customStyle="1" w:styleId="BodyTextIndent1">
    <w:name w:val="Body Text Indent1"/>
    <w:basedOn w:val="Normal"/>
    <w:uiPriority w:val="99"/>
    <w:rsid w:val="00D07915"/>
    <w:pPr>
      <w:spacing w:after="120"/>
      <w:ind w:left="708"/>
      <w:jc w:val="both"/>
    </w:pPr>
    <w:rPr>
      <w:rFonts w:ascii="Calibri" w:hAnsi="Calibri"/>
      <w:lang w:val="es-ES"/>
    </w:rPr>
  </w:style>
  <w:style w:type="paragraph" w:styleId="Encabezado">
    <w:name w:val="header"/>
    <w:basedOn w:val="Normal"/>
    <w:link w:val="EncabezadoCar"/>
    <w:uiPriority w:val="99"/>
    <w:rsid w:val="00D07915"/>
    <w:pPr>
      <w:tabs>
        <w:tab w:val="center" w:pos="4252"/>
        <w:tab w:val="right" w:pos="8504"/>
      </w:tabs>
    </w:pPr>
  </w:style>
  <w:style w:type="character" w:customStyle="1" w:styleId="EncabezadoCar">
    <w:name w:val="Encabezado Car"/>
    <w:basedOn w:val="Fuentedeprrafopredeter"/>
    <w:link w:val="Encabezado"/>
    <w:uiPriority w:val="99"/>
    <w:locked/>
    <w:rsid w:val="00D07915"/>
    <w:rPr>
      <w:rFonts w:ascii="Times New Roman" w:hAnsi="Times New Roman" w:cs="Times New Roman"/>
      <w:sz w:val="24"/>
      <w:szCs w:val="24"/>
      <w:lang w:val="es-ES_tradnl" w:eastAsia="es-ES"/>
    </w:rPr>
  </w:style>
  <w:style w:type="paragraph" w:styleId="Piedepgina">
    <w:name w:val="footer"/>
    <w:basedOn w:val="Normal"/>
    <w:link w:val="PiedepginaCar1"/>
    <w:uiPriority w:val="99"/>
    <w:rsid w:val="00D07915"/>
    <w:pPr>
      <w:tabs>
        <w:tab w:val="center" w:pos="4252"/>
        <w:tab w:val="right" w:pos="8504"/>
      </w:tabs>
    </w:pPr>
  </w:style>
  <w:style w:type="character" w:customStyle="1" w:styleId="PiedepginaCar1">
    <w:name w:val="Pie de página Car1"/>
    <w:basedOn w:val="Fuentedeprrafopredeter"/>
    <w:link w:val="Piedepgina"/>
    <w:uiPriority w:val="99"/>
    <w:locked/>
    <w:rsid w:val="00D07915"/>
    <w:rPr>
      <w:rFonts w:ascii="Times New Roman" w:hAnsi="Times New Roman" w:cs="Times New Roman"/>
      <w:sz w:val="24"/>
      <w:szCs w:val="24"/>
      <w:lang w:val="es-ES_tradnl" w:eastAsia="es-ES"/>
    </w:rPr>
  </w:style>
  <w:style w:type="paragraph" w:styleId="Sangra2detindependiente">
    <w:name w:val="Body Text Indent 2"/>
    <w:basedOn w:val="Normal"/>
    <w:link w:val="Sangra2detindependienteCar"/>
    <w:uiPriority w:val="99"/>
    <w:rsid w:val="00D07915"/>
    <w:pPr>
      <w:spacing w:after="120"/>
      <w:ind w:left="360"/>
      <w:jc w:val="both"/>
    </w:pPr>
    <w:rPr>
      <w:rFonts w:ascii="Calibri" w:hAnsi="Calibri"/>
      <w:lang w:val="es-ES"/>
    </w:rPr>
  </w:style>
  <w:style w:type="character" w:customStyle="1" w:styleId="Sangra2detindependienteCar">
    <w:name w:val="Sangría 2 de t. independiente Car"/>
    <w:basedOn w:val="Fuentedeprrafopredeter"/>
    <w:link w:val="Sangra2detindependiente"/>
    <w:uiPriority w:val="99"/>
    <w:locked/>
    <w:rsid w:val="00D07915"/>
    <w:rPr>
      <w:rFonts w:ascii="Times New Roman" w:hAnsi="Times New Roman" w:cs="Times New Roman"/>
      <w:sz w:val="24"/>
      <w:szCs w:val="24"/>
      <w:lang w:val="es-ES_tradnl" w:eastAsia="es-ES"/>
    </w:rPr>
  </w:style>
  <w:style w:type="paragraph" w:customStyle="1" w:styleId="BalloonText1">
    <w:name w:val="Balloon Text1"/>
    <w:basedOn w:val="Normal"/>
    <w:uiPriority w:val="99"/>
    <w:rsid w:val="00D07915"/>
    <w:rPr>
      <w:rFonts w:ascii="Tahoma" w:hAnsi="Tahoma" w:cs="Tahoma"/>
      <w:sz w:val="16"/>
      <w:szCs w:val="16"/>
    </w:rPr>
  </w:style>
  <w:style w:type="character" w:customStyle="1" w:styleId="BalloonTextChar">
    <w:name w:val="Balloon Text Char"/>
    <w:basedOn w:val="Fuentedeprrafopredeter"/>
    <w:uiPriority w:val="99"/>
    <w:rsid w:val="00D07915"/>
    <w:rPr>
      <w:rFonts w:ascii="Times New Roman" w:hAnsi="Times New Roman" w:cs="Times New Roman"/>
      <w:sz w:val="2"/>
      <w:szCs w:val="2"/>
      <w:lang w:val="es-ES_tradnl" w:eastAsia="es-ES"/>
    </w:rPr>
  </w:style>
  <w:style w:type="character" w:customStyle="1" w:styleId="TextodegloboCar1">
    <w:name w:val="Texto de globo Car1"/>
    <w:basedOn w:val="Fuentedeprrafopredeter"/>
    <w:uiPriority w:val="99"/>
    <w:rsid w:val="00D07915"/>
    <w:rPr>
      <w:rFonts w:ascii="Tahoma" w:hAnsi="Tahoma" w:cs="Tahoma"/>
      <w:sz w:val="16"/>
      <w:szCs w:val="16"/>
      <w:lang w:eastAsia="es-ES"/>
    </w:rPr>
  </w:style>
  <w:style w:type="paragraph" w:styleId="Epgrafe">
    <w:name w:val="caption"/>
    <w:basedOn w:val="Normal"/>
    <w:next w:val="Normal"/>
    <w:uiPriority w:val="99"/>
    <w:qFormat/>
    <w:rsid w:val="00D07915"/>
    <w:pPr>
      <w:spacing w:before="120" w:after="120"/>
    </w:pPr>
    <w:rPr>
      <w:b/>
      <w:bCs/>
      <w:sz w:val="20"/>
      <w:szCs w:val="20"/>
    </w:rPr>
  </w:style>
  <w:style w:type="paragraph" w:styleId="Ttulo">
    <w:name w:val="Title"/>
    <w:basedOn w:val="Normal"/>
    <w:next w:val="Normal"/>
    <w:link w:val="TtuloCar"/>
    <w:uiPriority w:val="99"/>
    <w:qFormat/>
    <w:rsid w:val="00D07915"/>
    <w:pPr>
      <w:spacing w:before="600" w:after="600"/>
      <w:jc w:val="both"/>
    </w:pPr>
    <w:rPr>
      <w:rFonts w:ascii="Verdana" w:hAnsi="Verdana"/>
      <w:b/>
      <w:bCs/>
      <w:sz w:val="30"/>
      <w:szCs w:val="30"/>
      <w:lang w:val="es-ES"/>
    </w:rPr>
  </w:style>
  <w:style w:type="character" w:customStyle="1" w:styleId="TtuloCar">
    <w:name w:val="Título Car"/>
    <w:basedOn w:val="Fuentedeprrafopredeter"/>
    <w:link w:val="Ttulo"/>
    <w:uiPriority w:val="99"/>
    <w:locked/>
    <w:rsid w:val="00D07915"/>
    <w:rPr>
      <w:rFonts w:ascii="Cambria" w:hAnsi="Cambria" w:cs="Cambria"/>
      <w:b/>
      <w:bCs/>
      <w:kern w:val="28"/>
      <w:sz w:val="32"/>
      <w:szCs w:val="32"/>
      <w:lang w:val="es-ES_tradnl" w:eastAsia="es-ES"/>
    </w:rPr>
  </w:style>
  <w:style w:type="paragraph" w:styleId="Listaconnmeros">
    <w:name w:val="List Number"/>
    <w:basedOn w:val="Normal"/>
    <w:uiPriority w:val="99"/>
    <w:rsid w:val="00D07915"/>
    <w:pPr>
      <w:tabs>
        <w:tab w:val="left" w:pos="357"/>
      </w:tabs>
      <w:spacing w:after="240"/>
      <w:ind w:left="924" w:hanging="357"/>
      <w:jc w:val="both"/>
    </w:pPr>
    <w:rPr>
      <w:rFonts w:ascii="Verdana" w:hAnsi="Verdana"/>
      <w:sz w:val="22"/>
      <w:szCs w:val="22"/>
      <w:lang w:val="es-ES"/>
    </w:rPr>
  </w:style>
  <w:style w:type="paragraph" w:styleId="Textoindependiente3">
    <w:name w:val="Body Text 3"/>
    <w:aliases w:val="NORMAL BOLETÍN"/>
    <w:basedOn w:val="Normal"/>
    <w:link w:val="Textoindependiente3Car"/>
    <w:uiPriority w:val="99"/>
    <w:rsid w:val="00D07915"/>
    <w:pPr>
      <w:spacing w:before="40" w:after="40"/>
      <w:jc w:val="center"/>
    </w:pPr>
    <w:rPr>
      <w:rFonts w:ascii="Verdana" w:hAnsi="Verdana"/>
      <w:sz w:val="22"/>
      <w:szCs w:val="22"/>
      <w:lang w:val="es-ES"/>
    </w:rPr>
  </w:style>
  <w:style w:type="character" w:customStyle="1" w:styleId="Textoindependiente3Car">
    <w:name w:val="Texto independiente 3 Car"/>
    <w:aliases w:val="NORMAL BOLETÍN Car"/>
    <w:basedOn w:val="Fuentedeprrafopredeter"/>
    <w:link w:val="Textoindependiente3"/>
    <w:uiPriority w:val="99"/>
    <w:locked/>
    <w:rsid w:val="00D07915"/>
    <w:rPr>
      <w:rFonts w:ascii="Times New Roman" w:hAnsi="Times New Roman" w:cs="Times New Roman"/>
      <w:sz w:val="16"/>
      <w:szCs w:val="16"/>
      <w:lang w:val="es-ES_tradnl" w:eastAsia="es-ES"/>
    </w:rPr>
  </w:style>
  <w:style w:type="paragraph" w:styleId="Textonotapie">
    <w:name w:val="footnote text"/>
    <w:aliases w:val="Texto nota pie BOLETÍN"/>
    <w:basedOn w:val="Normal"/>
    <w:link w:val="TextonotapieCar"/>
    <w:uiPriority w:val="99"/>
    <w:rsid w:val="00D07915"/>
    <w:pPr>
      <w:spacing w:after="120"/>
      <w:jc w:val="both"/>
    </w:pPr>
    <w:rPr>
      <w:rFonts w:ascii="Verdana" w:hAnsi="Verdana"/>
      <w:sz w:val="20"/>
      <w:szCs w:val="20"/>
      <w:lang w:val="es-ES"/>
    </w:rPr>
  </w:style>
  <w:style w:type="character" w:customStyle="1" w:styleId="FootnoteTextChar">
    <w:name w:val="Footnote Text Char"/>
    <w:aliases w:val="Texto nota pie BOLETÍN Char"/>
    <w:basedOn w:val="Fuentedeprrafopredeter"/>
    <w:link w:val="Textonotapie"/>
    <w:uiPriority w:val="99"/>
    <w:locked/>
    <w:rsid w:val="00D07915"/>
    <w:rPr>
      <w:rFonts w:ascii="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D07915"/>
    <w:rPr>
      <w:rFonts w:ascii="Times New Roman" w:hAnsi="Times New Roman" w:cs="Times New Roman"/>
      <w:vertAlign w:val="superscript"/>
    </w:rPr>
  </w:style>
  <w:style w:type="character" w:customStyle="1" w:styleId="PiedepginaCar">
    <w:name w:val="Pie de página Car"/>
    <w:basedOn w:val="Fuentedeprrafopredeter"/>
    <w:uiPriority w:val="99"/>
    <w:rsid w:val="00D07915"/>
    <w:rPr>
      <w:rFonts w:ascii="Times New Roman" w:hAnsi="Times New Roman" w:cs="Times New Roman"/>
      <w:sz w:val="24"/>
      <w:szCs w:val="24"/>
      <w:lang w:eastAsia="es-ES"/>
    </w:rPr>
  </w:style>
  <w:style w:type="character" w:styleId="Nmerodepgina">
    <w:name w:val="page number"/>
    <w:basedOn w:val="Fuentedeprrafopredeter"/>
    <w:uiPriority w:val="99"/>
    <w:rsid w:val="00D07915"/>
    <w:rPr>
      <w:rFonts w:ascii="Times New Roman" w:hAnsi="Times New Roman" w:cs="Times New Roman"/>
    </w:rPr>
  </w:style>
  <w:style w:type="paragraph" w:styleId="NormalWeb">
    <w:name w:val="Normal (Web)"/>
    <w:basedOn w:val="Normal"/>
    <w:uiPriority w:val="99"/>
    <w:rsid w:val="00D07915"/>
    <w:pPr>
      <w:spacing w:before="100" w:beforeAutospacing="1" w:after="100" w:afterAutospacing="1"/>
    </w:pPr>
    <w:rPr>
      <w:rFonts w:ascii="Arial Unicode MS" w:cs="Arial Unicode MS"/>
      <w:lang w:val="es-ES"/>
    </w:rPr>
  </w:style>
  <w:style w:type="paragraph" w:styleId="Sangra3detindependiente">
    <w:name w:val="Body Text Indent 3"/>
    <w:basedOn w:val="Normal"/>
    <w:link w:val="Sangra3detindependienteCar"/>
    <w:uiPriority w:val="99"/>
    <w:rsid w:val="00D07915"/>
    <w:pPr>
      <w:spacing w:before="360" w:after="120"/>
      <w:ind w:left="357"/>
      <w:jc w:val="both"/>
    </w:pPr>
    <w:rPr>
      <w:rFonts w:ascii="Calibri" w:hAnsi="Calibri"/>
      <w:b/>
      <w:bCs/>
      <w:sz w:val="20"/>
      <w:szCs w:val="20"/>
    </w:rPr>
  </w:style>
  <w:style w:type="character" w:customStyle="1" w:styleId="Sangra3detindependienteCar">
    <w:name w:val="Sangría 3 de t. independiente Car"/>
    <w:basedOn w:val="Fuentedeprrafopredeter"/>
    <w:link w:val="Sangra3detindependiente"/>
    <w:uiPriority w:val="99"/>
    <w:locked/>
    <w:rsid w:val="00D07915"/>
    <w:rPr>
      <w:rFonts w:ascii="Times New Roman" w:hAnsi="Times New Roman" w:cs="Times New Roman"/>
      <w:sz w:val="16"/>
      <w:szCs w:val="16"/>
      <w:lang w:val="es-ES_tradnl" w:eastAsia="es-ES"/>
    </w:rPr>
  </w:style>
  <w:style w:type="character" w:styleId="Refdecomentario">
    <w:name w:val="annotation reference"/>
    <w:basedOn w:val="Fuentedeprrafopredeter"/>
    <w:uiPriority w:val="99"/>
    <w:semiHidden/>
    <w:rsid w:val="00D07915"/>
    <w:rPr>
      <w:rFonts w:ascii="Times New Roman" w:hAnsi="Times New Roman" w:cs="Times New Roman"/>
      <w:sz w:val="16"/>
      <w:szCs w:val="16"/>
    </w:rPr>
  </w:style>
  <w:style w:type="paragraph" w:styleId="Textocomentario">
    <w:name w:val="annotation text"/>
    <w:basedOn w:val="Normal"/>
    <w:link w:val="TextocomentarioCar1"/>
    <w:uiPriority w:val="99"/>
    <w:semiHidden/>
    <w:rsid w:val="00D07915"/>
    <w:rPr>
      <w:sz w:val="20"/>
      <w:szCs w:val="20"/>
    </w:rPr>
  </w:style>
  <w:style w:type="character" w:customStyle="1" w:styleId="TextocomentarioCar1">
    <w:name w:val="Texto comentario Car1"/>
    <w:basedOn w:val="Fuentedeprrafopredeter"/>
    <w:link w:val="Textocomentario"/>
    <w:uiPriority w:val="99"/>
    <w:locked/>
    <w:rsid w:val="00D07915"/>
    <w:rPr>
      <w:rFonts w:ascii="Times New Roman" w:hAnsi="Times New Roman" w:cs="Times New Roman"/>
      <w:lang w:eastAsia="es-ES"/>
    </w:rPr>
  </w:style>
  <w:style w:type="paragraph" w:customStyle="1" w:styleId="CommentSubject1">
    <w:name w:val="Comment Subject1"/>
    <w:basedOn w:val="Textocomentario"/>
    <w:next w:val="Textocomentario"/>
    <w:uiPriority w:val="99"/>
    <w:rsid w:val="00D07915"/>
    <w:rPr>
      <w:b/>
      <w:bCs/>
    </w:rPr>
  </w:style>
  <w:style w:type="character" w:customStyle="1" w:styleId="CommentSubjectChar">
    <w:name w:val="Comment Subject Char"/>
    <w:basedOn w:val="TextocomentarioCar1"/>
    <w:uiPriority w:val="99"/>
    <w:rsid w:val="00D07915"/>
    <w:rPr>
      <w:b/>
      <w:bCs/>
    </w:rPr>
  </w:style>
  <w:style w:type="paragraph" w:customStyle="1" w:styleId="Textodeglobo11">
    <w:name w:val="Texto de globo11"/>
    <w:basedOn w:val="Normal"/>
    <w:uiPriority w:val="99"/>
    <w:rsid w:val="00D07915"/>
    <w:rPr>
      <w:rFonts w:ascii="Tahoma" w:hAnsi="Tahoma" w:cs="Tahoma"/>
      <w:sz w:val="16"/>
      <w:szCs w:val="16"/>
    </w:rPr>
  </w:style>
  <w:style w:type="paragraph" w:customStyle="1" w:styleId="Prrafodelista11">
    <w:name w:val="Párrafo de lista11"/>
    <w:basedOn w:val="Normal"/>
    <w:uiPriority w:val="99"/>
    <w:rsid w:val="00D07915"/>
    <w:pPr>
      <w:ind w:left="720"/>
    </w:pPr>
  </w:style>
  <w:style w:type="character" w:customStyle="1" w:styleId="SangradetextonormalCar">
    <w:name w:val="Sangría de texto normal Car"/>
    <w:aliases w:val="Sangría de texto normal1 Car,CUADRO AMARILLO Car"/>
    <w:basedOn w:val="Fuentedeprrafopredeter"/>
    <w:link w:val="Sangradetextonormal"/>
    <w:uiPriority w:val="99"/>
    <w:locked/>
    <w:rsid w:val="00E039D6"/>
    <w:rPr>
      <w:rFonts w:ascii="Calibri" w:hAnsi="Calibri" w:cs="Times New Roman"/>
      <w:i/>
      <w:iCs/>
      <w:sz w:val="24"/>
      <w:szCs w:val="24"/>
      <w:lang w:val="es-ES" w:eastAsia="es-ES"/>
    </w:rPr>
  </w:style>
  <w:style w:type="character" w:customStyle="1" w:styleId="BodyText2Char1">
    <w:name w:val="Body Text 2 Char1"/>
    <w:basedOn w:val="Fuentedeprrafopredeter"/>
    <w:uiPriority w:val="99"/>
    <w:rsid w:val="00D07915"/>
    <w:rPr>
      <w:rFonts w:ascii="Times New Roman" w:hAnsi="Times New Roman" w:cs="Times New Roman"/>
      <w:sz w:val="24"/>
      <w:szCs w:val="24"/>
      <w:lang w:val="es-ES_tradnl" w:eastAsia="es-ES"/>
    </w:rPr>
  </w:style>
  <w:style w:type="paragraph" w:customStyle="1" w:styleId="Textodeglobo2">
    <w:name w:val="Texto de globo2"/>
    <w:basedOn w:val="Normal"/>
    <w:uiPriority w:val="99"/>
    <w:rsid w:val="00D07915"/>
    <w:rPr>
      <w:rFonts w:ascii="Tahoma" w:hAnsi="Tahoma" w:cs="Tahoma"/>
      <w:sz w:val="16"/>
      <w:szCs w:val="16"/>
    </w:rPr>
  </w:style>
  <w:style w:type="character" w:customStyle="1" w:styleId="BalloonTextChar1">
    <w:name w:val="Balloon Text Char1"/>
    <w:basedOn w:val="Fuentedeprrafopredeter"/>
    <w:uiPriority w:val="99"/>
    <w:rsid w:val="00D07915"/>
    <w:rPr>
      <w:rFonts w:ascii="Times New Roman" w:hAnsi="Times New Roman" w:cs="Times New Roman"/>
      <w:sz w:val="2"/>
      <w:szCs w:val="2"/>
      <w:lang w:val="es-ES_tradnl" w:eastAsia="es-ES"/>
    </w:rPr>
  </w:style>
  <w:style w:type="character" w:customStyle="1" w:styleId="TextodegloboCar2">
    <w:name w:val="Texto de globo Car2"/>
    <w:basedOn w:val="Fuentedeprrafopredeter"/>
    <w:uiPriority w:val="99"/>
    <w:rsid w:val="00D07915"/>
    <w:rPr>
      <w:rFonts w:ascii="Tahoma" w:hAnsi="Tahoma" w:cs="Tahoma"/>
      <w:sz w:val="16"/>
      <w:szCs w:val="16"/>
      <w:lang w:eastAsia="es-ES"/>
    </w:rPr>
  </w:style>
  <w:style w:type="paragraph" w:customStyle="1" w:styleId="Asuntodelcomentario1">
    <w:name w:val="Asunto del comentario1"/>
    <w:basedOn w:val="Textocomentario"/>
    <w:next w:val="Textocomentario"/>
    <w:uiPriority w:val="99"/>
    <w:rsid w:val="00D07915"/>
    <w:rPr>
      <w:b/>
      <w:bCs/>
    </w:rPr>
  </w:style>
  <w:style w:type="character" w:customStyle="1" w:styleId="CommentSubjectChar1">
    <w:name w:val="Comment Subject Char1"/>
    <w:basedOn w:val="TextocomentarioCar1"/>
    <w:uiPriority w:val="99"/>
    <w:rsid w:val="00D07915"/>
    <w:rPr>
      <w:b/>
      <w:bCs/>
      <w:sz w:val="20"/>
      <w:szCs w:val="20"/>
      <w:lang w:val="es-ES_tradnl"/>
    </w:rPr>
  </w:style>
  <w:style w:type="character" w:customStyle="1" w:styleId="TextocomentarioCar">
    <w:name w:val="Texto comentario Car"/>
    <w:basedOn w:val="Fuentedeprrafopredeter"/>
    <w:uiPriority w:val="99"/>
    <w:rsid w:val="00D07915"/>
    <w:rPr>
      <w:rFonts w:ascii="Times New Roman" w:hAnsi="Times New Roman" w:cs="Times New Roman"/>
      <w:lang w:eastAsia="es-ES"/>
    </w:rPr>
  </w:style>
  <w:style w:type="character" w:customStyle="1" w:styleId="AsuntodelcomentarioCar">
    <w:name w:val="Asunto del comentario Car"/>
    <w:basedOn w:val="TextocomentarioCar"/>
    <w:uiPriority w:val="99"/>
    <w:rsid w:val="00D07915"/>
  </w:style>
  <w:style w:type="paragraph" w:customStyle="1" w:styleId="Sangradetextonormal11">
    <w:name w:val="Sangría de texto normal11"/>
    <w:basedOn w:val="Normal"/>
    <w:uiPriority w:val="99"/>
    <w:rsid w:val="00D07915"/>
    <w:pPr>
      <w:keepNext/>
      <w:pBdr>
        <w:top w:val="single" w:sz="12" w:space="1" w:color="FFCC66"/>
        <w:left w:val="single" w:sz="12" w:space="4" w:color="FFCC66"/>
        <w:bottom w:val="single" w:sz="12" w:space="1" w:color="FFCC66"/>
        <w:right w:val="single" w:sz="12" w:space="4" w:color="FFCC66"/>
      </w:pBdr>
      <w:shd w:val="clear" w:color="auto" w:fill="FFFFCC"/>
      <w:spacing w:after="180"/>
      <w:jc w:val="both"/>
    </w:pPr>
    <w:rPr>
      <w:rFonts w:ascii="Calibri" w:hAnsi="Calibri"/>
      <w:i/>
      <w:iCs/>
      <w:lang w:val="es-ES"/>
    </w:rPr>
  </w:style>
  <w:style w:type="paragraph" w:customStyle="1" w:styleId="Textodeglobo21">
    <w:name w:val="Texto de globo21"/>
    <w:basedOn w:val="Normal"/>
    <w:uiPriority w:val="99"/>
    <w:rsid w:val="00D07915"/>
    <w:rPr>
      <w:rFonts w:ascii="Tahoma" w:hAnsi="Tahoma" w:cs="Tahoma"/>
      <w:sz w:val="16"/>
      <w:szCs w:val="16"/>
    </w:rPr>
  </w:style>
  <w:style w:type="paragraph" w:customStyle="1" w:styleId="Asuntodelcomentario11">
    <w:name w:val="Asunto del comentario11"/>
    <w:basedOn w:val="Textocomentario"/>
    <w:next w:val="Textocomentario"/>
    <w:uiPriority w:val="99"/>
    <w:rsid w:val="00D07915"/>
    <w:rPr>
      <w:b/>
      <w:bCs/>
    </w:rPr>
  </w:style>
  <w:style w:type="paragraph" w:styleId="Listaconnmeros2">
    <w:name w:val="List Number 2"/>
    <w:basedOn w:val="Normal"/>
    <w:uiPriority w:val="99"/>
    <w:rsid w:val="00D07915"/>
    <w:pPr>
      <w:tabs>
        <w:tab w:val="num" w:pos="1494"/>
      </w:tabs>
      <w:spacing w:after="240"/>
      <w:ind w:left="1494" w:hanging="360"/>
      <w:jc w:val="both"/>
    </w:pPr>
    <w:rPr>
      <w:rFonts w:ascii="DaxOT-Medium" w:hAnsi="DaxOT-Medium"/>
      <w:sz w:val="22"/>
      <w:szCs w:val="22"/>
      <w:lang w:val="es-ES"/>
    </w:rPr>
  </w:style>
  <w:style w:type="paragraph" w:styleId="Lista">
    <w:name w:val="List"/>
    <w:basedOn w:val="Normal"/>
    <w:uiPriority w:val="99"/>
    <w:rsid w:val="00D07915"/>
    <w:pPr>
      <w:tabs>
        <w:tab w:val="left" w:pos="352"/>
      </w:tabs>
      <w:spacing w:after="120"/>
      <w:ind w:left="1361" w:hanging="397"/>
      <w:jc w:val="both"/>
    </w:pPr>
    <w:rPr>
      <w:rFonts w:ascii="DaxOT-Medium" w:hAnsi="DaxOT-Medium"/>
      <w:sz w:val="22"/>
      <w:szCs w:val="22"/>
      <w:lang w:val="es-ES"/>
    </w:rPr>
  </w:style>
  <w:style w:type="paragraph" w:styleId="Lista2">
    <w:name w:val="List 2"/>
    <w:basedOn w:val="Normal"/>
    <w:uiPriority w:val="99"/>
    <w:rsid w:val="00D07915"/>
    <w:pPr>
      <w:tabs>
        <w:tab w:val="num" w:pos="1723"/>
      </w:tabs>
      <w:spacing w:after="120"/>
      <w:ind w:left="1702" w:hanging="284"/>
      <w:jc w:val="both"/>
    </w:pPr>
    <w:rPr>
      <w:rFonts w:ascii="DaxOT-Medium" w:hAnsi="DaxOT-Medium"/>
      <w:sz w:val="22"/>
      <w:szCs w:val="22"/>
      <w:lang w:val="es-ES"/>
    </w:rPr>
  </w:style>
  <w:style w:type="paragraph" w:styleId="Lista3">
    <w:name w:val="List 3"/>
    <w:basedOn w:val="Normal"/>
    <w:uiPriority w:val="99"/>
    <w:rsid w:val="00D07915"/>
    <w:pPr>
      <w:tabs>
        <w:tab w:val="num" w:pos="1286"/>
      </w:tabs>
      <w:spacing w:after="120"/>
      <w:ind w:left="1985" w:hanging="284"/>
      <w:jc w:val="both"/>
    </w:pPr>
    <w:rPr>
      <w:rFonts w:ascii="DaxOT-Medium" w:hAnsi="DaxOT-Medium"/>
      <w:sz w:val="22"/>
      <w:szCs w:val="22"/>
      <w:lang w:val="es-ES"/>
    </w:rPr>
  </w:style>
  <w:style w:type="paragraph" w:styleId="Textoindependiente2">
    <w:name w:val="Body Text 2"/>
    <w:basedOn w:val="Normal"/>
    <w:link w:val="Textoindependiente2Car"/>
    <w:uiPriority w:val="99"/>
    <w:rsid w:val="00D0791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01722"/>
    <w:rPr>
      <w:rFonts w:cs="Times New Roman"/>
      <w:sz w:val="24"/>
      <w:szCs w:val="24"/>
      <w:lang w:val="es-ES_tradnl"/>
    </w:rPr>
  </w:style>
  <w:style w:type="paragraph" w:styleId="Textodeglobo">
    <w:name w:val="Balloon Text"/>
    <w:basedOn w:val="Normal"/>
    <w:link w:val="TextodegloboCar3"/>
    <w:uiPriority w:val="99"/>
    <w:rsid w:val="00D07915"/>
    <w:rPr>
      <w:rFonts w:ascii="Tahoma" w:hAnsi="Tahoma" w:cs="Tahoma"/>
      <w:sz w:val="16"/>
      <w:szCs w:val="16"/>
    </w:rPr>
  </w:style>
  <w:style w:type="character" w:customStyle="1" w:styleId="TextodegloboCar3">
    <w:name w:val="Texto de globo Car3"/>
    <w:basedOn w:val="Fuentedeprrafopredeter"/>
    <w:link w:val="Textodeglobo"/>
    <w:uiPriority w:val="99"/>
    <w:semiHidden/>
    <w:locked/>
    <w:rsid w:val="00E01722"/>
    <w:rPr>
      <w:rFonts w:cs="Times New Roman"/>
      <w:sz w:val="2"/>
      <w:lang w:val="es-ES_tradnl"/>
    </w:rPr>
  </w:style>
  <w:style w:type="character" w:customStyle="1" w:styleId="CarCar">
    <w:name w:val="Car Car"/>
    <w:basedOn w:val="Fuentedeprrafopredeter"/>
    <w:uiPriority w:val="99"/>
    <w:rsid w:val="00D07915"/>
    <w:rPr>
      <w:rFonts w:ascii="Tahoma" w:hAnsi="Tahoma" w:cs="Tahoma"/>
      <w:sz w:val="16"/>
      <w:szCs w:val="16"/>
      <w:lang w:val="es-ES_tradnl"/>
    </w:rPr>
  </w:style>
  <w:style w:type="paragraph" w:styleId="TDC8">
    <w:name w:val="toc 8"/>
    <w:basedOn w:val="Normal"/>
    <w:next w:val="Normal"/>
    <w:autoRedefine/>
    <w:uiPriority w:val="99"/>
    <w:semiHidden/>
    <w:rsid w:val="00D07915"/>
    <w:pPr>
      <w:spacing w:after="120"/>
      <w:ind w:left="1680"/>
      <w:jc w:val="both"/>
    </w:pPr>
    <w:rPr>
      <w:rFonts w:ascii="Arial" w:hAnsi="Arial" w:cs="Arial"/>
      <w:szCs w:val="20"/>
      <w:lang w:val="es-ES"/>
    </w:rPr>
  </w:style>
  <w:style w:type="paragraph" w:customStyle="1" w:styleId="Prrafodelista2">
    <w:name w:val="Párrafo de lista2"/>
    <w:basedOn w:val="Normal"/>
    <w:uiPriority w:val="99"/>
    <w:rsid w:val="00D07915"/>
    <w:pPr>
      <w:spacing w:after="120"/>
      <w:ind w:left="720"/>
      <w:jc w:val="both"/>
    </w:pPr>
    <w:rPr>
      <w:rFonts w:ascii="Arial" w:hAnsi="Arial" w:cs="Arial"/>
      <w:szCs w:val="20"/>
      <w:lang w:val="es-ES"/>
    </w:rPr>
  </w:style>
  <w:style w:type="paragraph" w:styleId="Asuntodelcomentario">
    <w:name w:val="annotation subject"/>
    <w:basedOn w:val="Textocomentario"/>
    <w:next w:val="Textocomentario"/>
    <w:link w:val="AsuntodelcomentarioCar2"/>
    <w:uiPriority w:val="99"/>
    <w:semiHidden/>
    <w:rsid w:val="00D07915"/>
    <w:rPr>
      <w:b/>
      <w:bCs/>
    </w:rPr>
  </w:style>
  <w:style w:type="character" w:customStyle="1" w:styleId="AsuntodelcomentarioCar2">
    <w:name w:val="Asunto del comentario Car2"/>
    <w:basedOn w:val="TextocomentarioCar1"/>
    <w:link w:val="Asuntodelcomentario"/>
    <w:uiPriority w:val="99"/>
    <w:semiHidden/>
    <w:locked/>
    <w:rsid w:val="00E01722"/>
    <w:rPr>
      <w:b/>
      <w:bCs/>
      <w:sz w:val="20"/>
      <w:szCs w:val="20"/>
      <w:lang w:val="es-ES_tradnl"/>
    </w:rPr>
  </w:style>
  <w:style w:type="character" w:customStyle="1" w:styleId="CarCar1">
    <w:name w:val="Car Car1"/>
    <w:basedOn w:val="Fuentedeprrafopredeter"/>
    <w:uiPriority w:val="99"/>
    <w:semiHidden/>
    <w:rsid w:val="00D07915"/>
    <w:rPr>
      <w:rFonts w:cs="Times New Roman"/>
      <w:lang w:eastAsia="es-ES"/>
    </w:rPr>
  </w:style>
  <w:style w:type="character" w:customStyle="1" w:styleId="AsuntodelcomentarioCar1">
    <w:name w:val="Asunto del comentario Car1"/>
    <w:basedOn w:val="CarCar1"/>
    <w:uiPriority w:val="99"/>
    <w:rsid w:val="00D07915"/>
  </w:style>
  <w:style w:type="character" w:customStyle="1" w:styleId="CarCar2">
    <w:name w:val="Car Car2"/>
    <w:basedOn w:val="Fuentedeprrafopredeter"/>
    <w:uiPriority w:val="99"/>
    <w:rsid w:val="00D07915"/>
    <w:rPr>
      <w:rFonts w:ascii="Tahoma" w:hAnsi="Tahoma" w:cs="Tahoma"/>
      <w:sz w:val="16"/>
      <w:szCs w:val="16"/>
      <w:lang w:val="es-ES_tradnl"/>
    </w:rPr>
  </w:style>
  <w:style w:type="paragraph" w:customStyle="1" w:styleId="Prrafodelista21">
    <w:name w:val="Párrafo de lista21"/>
    <w:basedOn w:val="Normal"/>
    <w:uiPriority w:val="99"/>
    <w:rsid w:val="00D07915"/>
    <w:pPr>
      <w:spacing w:after="120"/>
      <w:ind w:left="720"/>
      <w:jc w:val="both"/>
    </w:pPr>
    <w:rPr>
      <w:rFonts w:ascii="Arial" w:hAnsi="Arial" w:cs="Arial"/>
      <w:szCs w:val="20"/>
      <w:lang w:val="es-ES"/>
    </w:rPr>
  </w:style>
  <w:style w:type="character" w:customStyle="1" w:styleId="CarCar11">
    <w:name w:val="Car Car11"/>
    <w:basedOn w:val="Fuentedeprrafopredeter"/>
    <w:uiPriority w:val="99"/>
    <w:semiHidden/>
    <w:rsid w:val="00D07915"/>
    <w:rPr>
      <w:rFonts w:cs="Times New Roman"/>
      <w:lang w:eastAsia="es-ES"/>
    </w:rPr>
  </w:style>
  <w:style w:type="paragraph" w:styleId="Mapadeldocumento">
    <w:name w:val="Document Map"/>
    <w:basedOn w:val="Normal"/>
    <w:link w:val="MapadeldocumentoCar"/>
    <w:uiPriority w:val="99"/>
    <w:semiHidden/>
    <w:rsid w:val="00D07915"/>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E01722"/>
    <w:rPr>
      <w:rFonts w:cs="Times New Roman"/>
      <w:sz w:val="2"/>
      <w:lang w:val="es-ES_tradnl"/>
    </w:rPr>
  </w:style>
  <w:style w:type="character" w:customStyle="1" w:styleId="TextonotapieCar">
    <w:name w:val="Texto nota pie Car"/>
    <w:aliases w:val="Texto nota pie BOLETÍN Car"/>
    <w:basedOn w:val="Fuentedeprrafopredeter"/>
    <w:link w:val="Textonotapie"/>
    <w:uiPriority w:val="99"/>
    <w:locked/>
    <w:rsid w:val="00E039D6"/>
    <w:rPr>
      <w:rFonts w:ascii="Verdana" w:hAnsi="Verdana" w:cs="Times New Roman"/>
      <w:lang w:val="es-ES" w:eastAsia="es-ES"/>
    </w:rPr>
  </w:style>
  <w:style w:type="character" w:customStyle="1" w:styleId="TextoindependienteCar">
    <w:name w:val="Texto independiente Car"/>
    <w:aliases w:val="TÍTULO BOLETÍN Car"/>
    <w:basedOn w:val="Fuentedeprrafopredeter"/>
    <w:link w:val="Textoindependiente"/>
    <w:uiPriority w:val="99"/>
    <w:locked/>
    <w:rsid w:val="00303495"/>
    <w:rPr>
      <w:rFonts w:ascii="Calibri" w:hAnsi="Calibri" w:cs="Times New Roman"/>
      <w:sz w:val="24"/>
      <w:szCs w:val="24"/>
      <w:lang w:val="es-ES" w:eastAsia="es-ES"/>
    </w:rPr>
  </w:style>
  <w:style w:type="paragraph" w:styleId="Prrafodelista">
    <w:name w:val="List Paragraph"/>
    <w:basedOn w:val="Normal"/>
    <w:uiPriority w:val="34"/>
    <w:qFormat/>
    <w:rsid w:val="00B25EB0"/>
    <w:pPr>
      <w:ind w:left="720"/>
      <w:contextualSpacing/>
    </w:pPr>
  </w:style>
  <w:style w:type="paragraph" w:styleId="Revisin">
    <w:name w:val="Revision"/>
    <w:hidden/>
    <w:uiPriority w:val="99"/>
    <w:semiHidden/>
    <w:rsid w:val="00EB79EE"/>
    <w:rPr>
      <w:sz w:val="24"/>
      <w:szCs w:val="24"/>
      <w:lang w:val="es-ES_tradnl"/>
    </w:rPr>
  </w:style>
</w:styles>
</file>

<file path=word/webSettings.xml><?xml version="1.0" encoding="utf-8"?>
<w:webSettings xmlns:r="http://schemas.openxmlformats.org/officeDocument/2006/relationships" xmlns:w="http://schemas.openxmlformats.org/wordprocessingml/2006/main">
  <w:divs>
    <w:div w:id="211310642">
      <w:marLeft w:val="0"/>
      <w:marRight w:val="0"/>
      <w:marTop w:val="0"/>
      <w:marBottom w:val="0"/>
      <w:divBdr>
        <w:top w:val="none" w:sz="0" w:space="0" w:color="auto"/>
        <w:left w:val="none" w:sz="0" w:space="0" w:color="auto"/>
        <w:bottom w:val="none" w:sz="0" w:space="0" w:color="auto"/>
        <w:right w:val="none" w:sz="0" w:space="0" w:color="auto"/>
      </w:divBdr>
    </w:div>
    <w:div w:id="211310643">
      <w:marLeft w:val="0"/>
      <w:marRight w:val="0"/>
      <w:marTop w:val="0"/>
      <w:marBottom w:val="0"/>
      <w:divBdr>
        <w:top w:val="none" w:sz="0" w:space="0" w:color="auto"/>
        <w:left w:val="none" w:sz="0" w:space="0" w:color="auto"/>
        <w:bottom w:val="none" w:sz="0" w:space="0" w:color="auto"/>
        <w:right w:val="none" w:sz="0" w:space="0" w:color="auto"/>
      </w:divBdr>
    </w:div>
    <w:div w:id="614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iaysociedad.es" TargetMode="External"/><Relationship Id="rId13" Type="http://schemas.openxmlformats.org/officeDocument/2006/relationships/hyperlink" Target="http://www.energiaysociedad.es/detalle_material_didactico.asp?id=13&amp;secc=3" TargetMode="External"/><Relationship Id="rId18" Type="http://schemas.openxmlformats.org/officeDocument/2006/relationships/image" Target="media/image2.png"/><Relationship Id="rId26" Type="http://schemas.openxmlformats.org/officeDocument/2006/relationships/hyperlink" Target="http://www.eurelectric.org/media/53340/eurelectric_decentralized_storage_finalcover-2012-030-0574-01-e.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energiaysociedad.es/detalle_glosario.asp?id=171&amp;secc=2"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nergiaysociedad.es/detalle_material_didactico.asp?id=15&amp;secc=4" TargetMode="External"/><Relationship Id="rId17" Type="http://schemas.openxmlformats.org/officeDocument/2006/relationships/image" Target="media/image1.png"/><Relationship Id="rId25" Type="http://schemas.openxmlformats.org/officeDocument/2006/relationships/hyperlink" Target="http://www.energiaysociedad.es/documentacion.asp?id=1025&amp;secc=2" TargetMode="External"/><Relationship Id="rId33" Type="http://schemas.openxmlformats.org/officeDocument/2006/relationships/hyperlink" Target="http://www.energiaysociedad.es/detalle_preguntas_frecuentes.asp?id=11&amp;secc=2"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etur.gob.es/energia/desarrollo/EnergiaRenovable/Paginas/paner.aspx" TargetMode="External"/><Relationship Id="rId20" Type="http://schemas.openxmlformats.org/officeDocument/2006/relationships/image" Target="media/image4.png"/><Relationship Id="rId29" Type="http://schemas.openxmlformats.org/officeDocument/2006/relationships/hyperlink" Target="http://www.energiaysociedad.es/pdf/smartgrids.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ae.es/" TargetMode="External"/><Relationship Id="rId24" Type="http://schemas.openxmlformats.org/officeDocument/2006/relationships/hyperlink" Target="http://www.energiaysociedad.es/documentacion.asp?id=495&amp;secc=2" TargetMode="External"/><Relationship Id="rId32" Type="http://schemas.openxmlformats.org/officeDocument/2006/relationships/hyperlink" Target="http://www.eera-set.e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tsoe.eu/system-development/tyndp/tyndp-2012-new/" TargetMode="External"/><Relationship Id="rId23" Type="http://schemas.openxmlformats.org/officeDocument/2006/relationships/hyperlink" Target="http://www.energiaysociedad.es/documentacion.asp?id=1037&amp;secc=1" TargetMode="External"/><Relationship Id="rId28" Type="http://schemas.openxmlformats.org/officeDocument/2006/relationships/image" Target="media/image7.png"/><Relationship Id="rId36" Type="http://schemas.openxmlformats.org/officeDocument/2006/relationships/hyperlink" Target="http://www.energiaysociedad.es/documentacion.asp?id=579&amp;secc=2" TargetMode="External"/><Relationship Id="rId10" Type="http://schemas.openxmlformats.org/officeDocument/2006/relationships/hyperlink" Target="http://www.boe.es/buscar/doc.php?id=BOE-A-2007-10556" TargetMode="External"/><Relationship Id="rId19" Type="http://schemas.openxmlformats.org/officeDocument/2006/relationships/image" Target="media/image3.png"/><Relationship Id="rId31" Type="http://schemas.openxmlformats.org/officeDocument/2006/relationships/hyperlink" Target="http://www.smartgrids.eu/documents/EEGI/EEGI_Implementation_plan_May%202010.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e.es/boe/dias/2012/07/14/pdfs/BOE-A-2012-9364.pdf" TargetMode="External"/><Relationship Id="rId14" Type="http://schemas.openxmlformats.org/officeDocument/2006/relationships/hyperlink" Target="http://www.acer.europa.eu/Pages/ACER.aspx" TargetMode="External"/><Relationship Id="rId22" Type="http://schemas.openxmlformats.org/officeDocument/2006/relationships/hyperlink" Target="http://www.energiaysociedad.es/detalle_material_didactico.asp?id=34&amp;secc=9" TargetMode="External"/><Relationship Id="rId27" Type="http://schemas.openxmlformats.org/officeDocument/2006/relationships/image" Target="media/image6.png"/><Relationship Id="rId30" Type="http://schemas.openxmlformats.org/officeDocument/2006/relationships/hyperlink" Target="http://ec.europa.eu/energy/technology/set_plan/set_plan_en.htm" TargetMode="External"/><Relationship Id="rId35" Type="http://schemas.openxmlformats.org/officeDocument/2006/relationships/hyperlink" Target="http://www.energiaysociedad.es/pdf/smartgrids.pdf"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www.acer.europa.eu/Pages/ACER.aspx" TargetMode="External"/><Relationship Id="rId2" Type="http://schemas.openxmlformats.org/officeDocument/2006/relationships/hyperlink" Target="http://www.energiaysociedad.es/pdf/Boletin_de_Energia_y_Sociedad_NUMERO_73.pdf" TargetMode="External"/><Relationship Id="rId1" Type="http://schemas.openxmlformats.org/officeDocument/2006/relationships/hyperlink" Target="http://www.energiaysociedad.es/pdf/Boletin_de_Energia_y_Sociedad_NUMERO_69.pdf" TargetMode="External"/><Relationship Id="rId5" Type="http://schemas.openxmlformats.org/officeDocument/2006/relationships/hyperlink" Target="http://www.consilium.europa.eu/ueDocs/cms_Data/docs/pressData/es/ec/70829.pdf" TargetMode="External"/><Relationship Id="rId4" Type="http://schemas.openxmlformats.org/officeDocument/2006/relationships/hyperlink" Target="http://www.energiaysociedad.es/documentacion.asp?id=343&amp;secc=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8D58-6AC3-4F9B-8622-CB845905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3950</Words>
  <Characters>23265</Characters>
  <Application>Microsoft Office Word</Application>
  <DocSecurity>0</DocSecurity>
  <Lines>375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2012-07-31T10:53:00Z</dcterms:created>
  <dcterms:modified xsi:type="dcterms:W3CDTF">2012-07-31T10:53:00Z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